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3D492" w14:textId="77777777" w:rsidR="00FE3150" w:rsidRDefault="00BD5B4B" w:rsidP="00E731A0">
      <w:pPr>
        <w:pStyle w:val="TitleTintBox"/>
      </w:pPr>
      <w:r>
        <w:rPr>
          <w:noProof/>
        </w:rPr>
        <mc:AlternateContent>
          <mc:Choice Requires="wps">
            <w:drawing>
              <wp:inline distT="0" distB="0" distL="0" distR="0" wp14:anchorId="3C89056B" wp14:editId="6FA1A014">
                <wp:extent cx="7559675" cy="1008000"/>
                <wp:effectExtent l="0" t="0" r="3175" b="1905"/>
                <wp:docPr id="217" name="Text Box 2" descr="Decorative backgro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1008000"/>
                        </a:xfrm>
                        <a:prstGeom prst="rect">
                          <a:avLst/>
                        </a:prstGeom>
                        <a:solidFill>
                          <a:schemeClr val="accent2"/>
                        </a:solidFill>
                        <a:ln w="9525">
                          <a:noFill/>
                          <a:miter lim="800000"/>
                          <a:headEnd/>
                          <a:tailEnd/>
                        </a:ln>
                      </wps:spPr>
                      <wps:txbx>
                        <w:txbxContent>
                          <w:p w14:paraId="481F8175" w14:textId="77777777" w:rsidR="00BD5B4B" w:rsidRPr="00F3338E" w:rsidRDefault="00A44A98" w:rsidP="00F3338E">
                            <w:pPr>
                              <w:pStyle w:val="DocumentType"/>
                            </w:pPr>
                            <w:r>
                              <w:t>Public Interest Disclosures Act 2022</w:t>
                            </w:r>
                          </w:p>
                          <w:p w14:paraId="7BB63B71" w14:textId="4115A31A" w:rsidR="00BD5B4B" w:rsidRPr="00F3338E" w:rsidRDefault="00A44A98" w:rsidP="00F3338E">
                            <w:pPr>
                              <w:pStyle w:val="Heading1"/>
                            </w:pPr>
                            <w:r>
                              <w:t>Template contract clauses for agency service contracts</w:t>
                            </w:r>
                          </w:p>
                        </w:txbxContent>
                      </wps:txbx>
                      <wps:bodyPr rot="0" vert="horz" wrap="square" lIns="540000" tIns="0" rIns="360000" bIns="0" anchor="ctr" anchorCtr="0">
                        <a:noAutofit/>
                      </wps:bodyPr>
                    </wps:wsp>
                  </a:graphicData>
                </a:graphic>
              </wp:inline>
            </w:drawing>
          </mc:Choice>
          <mc:Fallback>
            <w:pict>
              <v:shapetype w14:anchorId="3C89056B" id="_x0000_t202" coordsize="21600,21600" o:spt="202" path="m,l,21600r21600,l21600,xe">
                <v:stroke joinstyle="miter"/>
                <v:path gradientshapeok="t" o:connecttype="rect"/>
              </v:shapetype>
              <v:shape id="Text Box 2" o:spid="_x0000_s1026" type="#_x0000_t202" alt="Decorative background" style="width:595.25pt;height:7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" fillcolor="#cbedfd [3205]" stroked="f">
                <v:textbox inset="15mm,0,10mm,0">
                  <w:txbxContent>
                    <w:p w14:paraId="481F8175" w14:textId="77777777" w:rsidR="00BD5B4B" w:rsidRPr="00F3338E" w:rsidRDefault="00A44A98" w:rsidP="00F3338E">
                      <w:pPr>
                        <w:pStyle w:val="DocumentType"/>
                      </w:pPr>
                      <w:r>
                        <w:t>Public Interest Disclosures Act 2022</w:t>
                      </w:r>
                    </w:p>
                    <w:p w14:paraId="7BB63B71" w14:textId="4115A31A" w:rsidR="00BD5B4B" w:rsidRPr="00F3338E" w:rsidRDefault="00A44A98" w:rsidP="00F3338E">
                      <w:pPr>
                        <w:pStyle w:val="Heading1"/>
                      </w:pPr>
                      <w:r>
                        <w:t>Template contract clauses for agency service contracts</w:t>
                      </w:r>
                    </w:p>
                  </w:txbxContent>
                </v:textbox>
                <w10:anchorlock/>
              </v:shape>
            </w:pict>
          </mc:Fallback>
        </mc:AlternateContent>
      </w:r>
    </w:p>
    <w:p w14:paraId="3A1EC433" w14:textId="77777777" w:rsidR="00A44A98" w:rsidRPr="004D5979" w:rsidRDefault="00A44A98" w:rsidP="00CA2833">
      <w:pPr>
        <w:pStyle w:val="BodyText"/>
        <w:rPr>
          <w:highlight w:val="yellow"/>
        </w:rPr>
      </w:pPr>
      <w:r w:rsidRPr="004D5979">
        <w:rPr>
          <w:highlight w:val="yellow"/>
        </w:rPr>
        <w:t xml:space="preserve">[Note: s. 82 of the Public Interest Disclosures Act 2022 “applies to a contract or subcontract (an agency service contract) under which a person or body is engaged to provide services on behalf of an agency (the contracting agency), including an engagement to exercise a function mentioned in section 81(3)”. </w:t>
      </w:r>
    </w:p>
    <w:p w14:paraId="4959A63A" w14:textId="77777777" w:rsidR="00A44A98" w:rsidRPr="004D5979" w:rsidRDefault="00A44A98" w:rsidP="00CA2833">
      <w:pPr>
        <w:pStyle w:val="BodyText"/>
        <w:rPr>
          <w:highlight w:val="yellow"/>
        </w:rPr>
      </w:pPr>
      <w:r w:rsidRPr="004D5979">
        <w:rPr>
          <w:highlight w:val="yellow"/>
        </w:rPr>
        <w:t xml:space="preserve">Section 82(2) provides that “A contracting agency, person exercising the functions of a contracting agency or head contractor, as applicable, must not enter into an agency service contract on or after the day on which this section commences unless the terms of the contract require the engaged person or body to” do certain things specified in that section. </w:t>
      </w:r>
    </w:p>
    <w:p w14:paraId="0F4AE6C6" w14:textId="77777777" w:rsidR="00A44A98" w:rsidRPr="004D5979" w:rsidRDefault="00A44A98" w:rsidP="00CA2833">
      <w:pPr>
        <w:pStyle w:val="BodyText"/>
        <w:rPr>
          <w:highlight w:val="yellow"/>
        </w:rPr>
      </w:pPr>
      <w:r w:rsidRPr="004D5979">
        <w:rPr>
          <w:highlight w:val="yellow"/>
        </w:rPr>
        <w:t xml:space="preserve">The PID Act commences on 1 October 2023 (Commencement Proclamation 2023 No. 11). </w:t>
      </w:r>
    </w:p>
    <w:p w14:paraId="4783FC64" w14:textId="77777777" w:rsidR="00320A84" w:rsidRPr="004D5979" w:rsidRDefault="00A44A98" w:rsidP="00CA2833">
      <w:pPr>
        <w:pStyle w:val="BodyText"/>
      </w:pPr>
      <w:r w:rsidRPr="004D5979">
        <w:rPr>
          <w:highlight w:val="yellow"/>
        </w:rPr>
        <w:t>This sample clause may be included in agency service contracts to comply with the requirements of s. 82(2). The clause may need to be adapted to reflect the contract in question, including by changing defined terms where appropriate and updating the clause numbers.]</w:t>
      </w:r>
    </w:p>
    <w:p w14:paraId="2D766697" w14:textId="3AA71D40" w:rsidR="00AA57D6" w:rsidRPr="002C73C1" w:rsidRDefault="002C73C1" w:rsidP="002C73C1">
      <w:pPr>
        <w:pStyle w:val="Heading2"/>
        <w:spacing w:after="360"/>
        <w:rPr>
          <w:i/>
          <w:iCs/>
        </w:rPr>
      </w:pPr>
      <w:r>
        <w:rPr>
          <w:i/>
          <w:iCs/>
          <w:highlight w:val="yellow"/>
        </w:rPr>
        <w:t>[</w:t>
      </w:r>
      <w:r w:rsidR="00737582" w:rsidRPr="002C73C1">
        <w:rPr>
          <w:i/>
          <w:iCs/>
          <w:highlight w:val="yellow"/>
        </w:rPr>
        <w:t>Guide notes should be removed before issuing the contract.</w:t>
      </w:r>
      <w:r>
        <w:rPr>
          <w:i/>
          <w:iCs/>
        </w:rPr>
        <w:t>]</w:t>
      </w:r>
    </w:p>
    <w:p w14:paraId="324A75AA" w14:textId="77777777" w:rsidR="00550857" w:rsidRPr="00550857" w:rsidRDefault="00550857" w:rsidP="00CA2833">
      <w:pPr>
        <w:pStyle w:val="ListNumber"/>
      </w:pPr>
      <w:r w:rsidRPr="00550857">
        <w:t>Definitions and interpretation</w:t>
      </w:r>
    </w:p>
    <w:p w14:paraId="6D90C72F" w14:textId="77777777" w:rsidR="00550857" w:rsidRPr="00550857" w:rsidRDefault="00550857" w:rsidP="00CA2833">
      <w:pPr>
        <w:pStyle w:val="ListNumber2"/>
      </w:pPr>
      <w:bookmarkStart w:id="0" w:name="_Toc28136705"/>
      <w:r w:rsidRPr="00550857">
        <w:t>In this Agreement, unless the context otherwise requires:</w:t>
      </w:r>
      <w:bookmarkEnd w:id="0"/>
    </w:p>
    <w:p w14:paraId="66363A67" w14:textId="77777777" w:rsidR="00550857" w:rsidRPr="00550857" w:rsidRDefault="00550857" w:rsidP="00CA2833">
      <w:pPr>
        <w:pStyle w:val="BodyText"/>
      </w:pPr>
      <w:r w:rsidRPr="00550857">
        <w:t>…</w:t>
      </w:r>
    </w:p>
    <w:p w14:paraId="496B63A6" w14:textId="77777777" w:rsidR="00550857" w:rsidRPr="00550857" w:rsidRDefault="00550857" w:rsidP="00CA2833">
      <w:pPr>
        <w:pStyle w:val="BodyText"/>
      </w:pPr>
      <w:r w:rsidRPr="00550857">
        <w:rPr>
          <w:b/>
          <w:bCs/>
        </w:rPr>
        <w:t>“PID Act”</w:t>
      </w:r>
      <w:r w:rsidRPr="00550857">
        <w:t xml:space="preserve"> means the Public Interest Disclosures Act 2022. </w:t>
      </w:r>
    </w:p>
    <w:p w14:paraId="37DAB62A" w14:textId="77777777" w:rsidR="00550857" w:rsidRPr="00550857" w:rsidRDefault="00550857" w:rsidP="00CA2833">
      <w:pPr>
        <w:pStyle w:val="BodyText"/>
      </w:pPr>
      <w:bookmarkStart w:id="1" w:name="_Toc9750863"/>
      <w:bookmarkStart w:id="2" w:name="_Toc14583732"/>
      <w:bookmarkStart w:id="3" w:name="_Toc20115092"/>
      <w:bookmarkStart w:id="4" w:name="_Toc20115299"/>
      <w:r w:rsidRPr="00550857">
        <w:t>…</w:t>
      </w:r>
    </w:p>
    <w:p w14:paraId="5C8B4172" w14:textId="77777777" w:rsidR="00550857" w:rsidRPr="00CA2833" w:rsidRDefault="00550857" w:rsidP="00CA2833">
      <w:pPr>
        <w:pStyle w:val="ListNumber2"/>
      </w:pPr>
      <w:bookmarkStart w:id="5" w:name="_Toc28136706"/>
      <w:r w:rsidRPr="00CA2833">
        <w:t>Except where the context otherwise requires:</w:t>
      </w:r>
      <w:bookmarkEnd w:id="5"/>
    </w:p>
    <w:p w14:paraId="655AAA99" w14:textId="77777777" w:rsidR="00550857" w:rsidRPr="00737582" w:rsidRDefault="00550857" w:rsidP="00B02E55">
      <w:pPr>
        <w:pStyle w:val="ListNumber3"/>
      </w:pPr>
      <w:bookmarkStart w:id="6" w:name="_Toc28136707"/>
      <w:r w:rsidRPr="00737582">
        <w:t>References to legislation.  A reference to a statute, regulation, ordinance or by-law (“Law”) will be deemed to extend to include a reference to all statutes, regulations, ordinances or by-laws amending, consolidating or replacing that Law from time to time.</w:t>
      </w:r>
      <w:bookmarkEnd w:id="6"/>
    </w:p>
    <w:p w14:paraId="624F96E8" w14:textId="77777777" w:rsidR="00550857" w:rsidRPr="00737582" w:rsidRDefault="00550857" w:rsidP="00CA2833">
      <w:pPr>
        <w:pStyle w:val="BodyText"/>
      </w:pPr>
      <w:r w:rsidRPr="00737582">
        <w:t>[</w:t>
      </w:r>
      <w:r w:rsidRPr="00737582">
        <w:rPr>
          <w:highlight w:val="yellow"/>
        </w:rPr>
        <w:t xml:space="preserve">Note: </w:t>
      </w:r>
      <w:proofErr w:type="gramStart"/>
      <w:r w:rsidRPr="00737582">
        <w:rPr>
          <w:highlight w:val="yellow"/>
        </w:rPr>
        <w:t>an</w:t>
      </w:r>
      <w:proofErr w:type="gramEnd"/>
      <w:r w:rsidRPr="00737582">
        <w:rPr>
          <w:highlight w:val="yellow"/>
        </w:rPr>
        <w:t xml:space="preserve"> Agreement should include an interpretive provision along the lines of (a) above to ensure that any amendments to the PID Act from time to time will be picked up.</w:t>
      </w:r>
      <w:r w:rsidRPr="00737582">
        <w:t>]</w:t>
      </w:r>
    </w:p>
    <w:p w14:paraId="225D2EA1" w14:textId="77777777" w:rsidR="00550857" w:rsidRPr="00550857" w:rsidRDefault="00550857" w:rsidP="00CA2833">
      <w:pPr>
        <w:pStyle w:val="BodyText"/>
      </w:pPr>
      <w:r w:rsidRPr="00550857">
        <w:t>…</w:t>
      </w:r>
    </w:p>
    <w:p w14:paraId="6BD2A2FD" w14:textId="77777777" w:rsidR="00550857" w:rsidRPr="00CA2833" w:rsidRDefault="00550857" w:rsidP="00CA2833">
      <w:pPr>
        <w:pStyle w:val="ListNumber"/>
      </w:pPr>
      <w:r w:rsidRPr="00CA2833">
        <w:t xml:space="preserve">Public Interest Disclosures </w:t>
      </w:r>
    </w:p>
    <w:p w14:paraId="0AC3AF36" w14:textId="77777777" w:rsidR="00550857" w:rsidRPr="00550857" w:rsidRDefault="00550857" w:rsidP="00CA2833">
      <w:pPr>
        <w:pStyle w:val="ListNumber2"/>
      </w:pPr>
      <w:bookmarkStart w:id="7" w:name="_Toc28136719"/>
      <w:r w:rsidRPr="00550857">
        <w:t>In this cl. [</w:t>
      </w:r>
      <w:r w:rsidRPr="00550857">
        <w:rPr>
          <w:highlight w:val="yellow"/>
        </w:rPr>
        <w:t>X</w:t>
      </w:r>
      <w:r w:rsidRPr="00550857">
        <w:t xml:space="preserve">] (Public Interest Disclosures), words and expressions: </w:t>
      </w:r>
    </w:p>
    <w:p w14:paraId="1025624B" w14:textId="77777777" w:rsidR="00550857" w:rsidRPr="00B02E55" w:rsidRDefault="00550857" w:rsidP="00B02E55">
      <w:pPr>
        <w:pStyle w:val="ListNumber3"/>
      </w:pPr>
      <w:r w:rsidRPr="00B02E55">
        <w:lastRenderedPageBreak/>
        <w:t xml:space="preserve">which are not defined in this Agreement, but which have a defined meaning in the PID Act, have the same meaning as in the PID Act; and </w:t>
      </w:r>
    </w:p>
    <w:p w14:paraId="05388927" w14:textId="77777777" w:rsidR="00550857" w:rsidRPr="00550857" w:rsidRDefault="00550857" w:rsidP="00B02E55">
      <w:pPr>
        <w:pStyle w:val="ListNumber3"/>
      </w:pPr>
      <w:r w:rsidRPr="00550857">
        <w:t xml:space="preserve">which are defined in this Agreement but, by such a definition, are given a different meaning in other clauses of this Agreement to the meaning given in the PID Act, take the same meaning as in the PID Act in this clause. </w:t>
      </w:r>
    </w:p>
    <w:p w14:paraId="64F24F98" w14:textId="77777777" w:rsidR="00550857" w:rsidRPr="00550857" w:rsidRDefault="00550857" w:rsidP="00CA2833">
      <w:pPr>
        <w:pStyle w:val="ListNumber2"/>
      </w:pPr>
      <w:r w:rsidRPr="00550857">
        <w:t>The [</w:t>
      </w:r>
      <w:r w:rsidRPr="00550857">
        <w:rPr>
          <w:highlight w:val="yellow"/>
        </w:rPr>
        <w:t>Contractor</w:t>
      </w:r>
      <w:r w:rsidRPr="00550857">
        <w:t>] must ensure that all individuals involved in providing services under this [</w:t>
      </w:r>
      <w:r w:rsidRPr="00550857">
        <w:rPr>
          <w:highlight w:val="yellow"/>
        </w:rPr>
        <w:t>Agreement</w:t>
      </w:r>
      <w:r w:rsidRPr="00550857">
        <w:t>] are made aware of the following:</w:t>
      </w:r>
    </w:p>
    <w:p w14:paraId="3EE45D6D" w14:textId="77777777" w:rsidR="00550857" w:rsidRPr="00550857" w:rsidRDefault="00550857" w:rsidP="00B02E55">
      <w:pPr>
        <w:pStyle w:val="ListNumber3"/>
      </w:pPr>
      <w:r w:rsidRPr="00550857">
        <w:t>that those individuals are public officials for the purposes of the PID </w:t>
      </w:r>
      <w:proofErr w:type="gramStart"/>
      <w:r w:rsidRPr="00550857">
        <w:t>Act</w:t>
      </w:r>
      <w:bookmarkEnd w:id="7"/>
      <w:r w:rsidRPr="00550857">
        <w:t>;</w:t>
      </w:r>
      <w:proofErr w:type="gramEnd"/>
    </w:p>
    <w:p w14:paraId="59E0E4F4" w14:textId="77777777" w:rsidR="00550857" w:rsidRPr="00550857" w:rsidRDefault="00550857" w:rsidP="00B02E55">
      <w:pPr>
        <w:pStyle w:val="ListNumber3"/>
      </w:pPr>
      <w:r w:rsidRPr="00550857">
        <w:t xml:space="preserve">how to make a voluntary public interest </w:t>
      </w:r>
      <w:proofErr w:type="gramStart"/>
      <w:r w:rsidRPr="00550857">
        <w:t>disclosure;</w:t>
      </w:r>
      <w:proofErr w:type="gramEnd"/>
    </w:p>
    <w:p w14:paraId="23BC53FC" w14:textId="77777777" w:rsidR="00550857" w:rsidRPr="00550857" w:rsidRDefault="00550857" w:rsidP="00B02E55">
      <w:pPr>
        <w:pStyle w:val="ListNumber3"/>
      </w:pPr>
      <w:r w:rsidRPr="00550857">
        <w:t>the [</w:t>
      </w:r>
      <w:r w:rsidRPr="00550857">
        <w:rPr>
          <w:highlight w:val="yellow"/>
        </w:rPr>
        <w:t>Agency</w:t>
      </w:r>
      <w:r w:rsidRPr="00550857">
        <w:t>]’s public interest disclosure policy; and</w:t>
      </w:r>
    </w:p>
    <w:p w14:paraId="0AEEC13E" w14:textId="77777777" w:rsidR="00550857" w:rsidRPr="00550857" w:rsidRDefault="00550857" w:rsidP="00B02E55">
      <w:pPr>
        <w:pStyle w:val="ListNumber3"/>
      </w:pPr>
      <w:r w:rsidRPr="00550857">
        <w:t xml:space="preserve">the fact that a person who is dissatisfied with the way in which a voluntary public interest disclosure has been dealt with may be entitled to take further action under the PID Act or another Act or law. </w:t>
      </w:r>
    </w:p>
    <w:p w14:paraId="04782113" w14:textId="77777777" w:rsidR="00550857" w:rsidRPr="00CA2833" w:rsidRDefault="00550857" w:rsidP="00CA2833">
      <w:pPr>
        <w:pStyle w:val="BodyText"/>
        <w:rPr>
          <w:highlight w:val="yellow"/>
        </w:rPr>
      </w:pPr>
      <w:r w:rsidRPr="00CA2833">
        <w:t>[</w:t>
      </w:r>
      <w:r w:rsidRPr="00CA2833">
        <w:rPr>
          <w:highlight w:val="yellow"/>
        </w:rPr>
        <w:t>Note: the above requirements will, practically speaking, require the Agency to provide copies of, or access to, the Agency’s public interest disclosure policy. If it is not dealt with elsewhere in the Agreement (</w:t>
      </w:r>
      <w:proofErr w:type="spellStart"/>
      <w:r w:rsidRPr="00CA2833">
        <w:rPr>
          <w:highlight w:val="yellow"/>
        </w:rPr>
        <w:t>eg</w:t>
      </w:r>
      <w:proofErr w:type="spellEnd"/>
      <w:r w:rsidRPr="00CA2833">
        <w:rPr>
          <w:highlight w:val="yellow"/>
        </w:rPr>
        <w:t>, a general information sharing or cooperation clause), the Agency may wish to include a clause along the following lines. However, if the policy is publicly available on the Agency’s website pursuant to s. 47(1)(a) of the PID Act then it may not be necessary for the Agency to provide a copy of the policy to the Contractor but would be sufficient to provide information on how to access it on the Agency’s website. The following suggested draft clause could be adjusted accordingly:</w:t>
      </w:r>
    </w:p>
    <w:p w14:paraId="0F997633" w14:textId="77777777" w:rsidR="00550857" w:rsidRPr="00737582" w:rsidRDefault="00550857" w:rsidP="00CA2833">
      <w:pPr>
        <w:pStyle w:val="BodyText"/>
      </w:pPr>
      <w:r w:rsidRPr="00737582">
        <w:rPr>
          <w:highlight w:val="yellow"/>
        </w:rPr>
        <w:t>“The [Agency] will provide the Contractor with a copy of, or access to, or information on where to access on the Agency’s website, the [Agency]’s public interest disclosure policy to assist the [Contractor] to comply with cl. [X.2] of this [Agreement].”</w:t>
      </w:r>
      <w:r w:rsidRPr="00737582">
        <w:t xml:space="preserve">] </w:t>
      </w:r>
    </w:p>
    <w:p w14:paraId="0D584105" w14:textId="77777777" w:rsidR="00550857" w:rsidRPr="00550857" w:rsidRDefault="00550857" w:rsidP="00CA2833">
      <w:pPr>
        <w:pStyle w:val="ListNumber2"/>
      </w:pPr>
      <w:r w:rsidRPr="00550857">
        <w:t>The [</w:t>
      </w:r>
      <w:r w:rsidRPr="00550857">
        <w:rPr>
          <w:highlight w:val="yellow"/>
        </w:rPr>
        <w:t>Contractor</w:t>
      </w:r>
      <w:r w:rsidRPr="00550857">
        <w:t>] must notify the [</w:t>
      </w:r>
      <w:r w:rsidRPr="00550857">
        <w:rPr>
          <w:highlight w:val="yellow"/>
        </w:rPr>
        <w:t>Agency</w:t>
      </w:r>
      <w:r w:rsidRPr="00550857">
        <w:t>] of a voluntary public interest disclosure of which the [</w:t>
      </w:r>
      <w:r w:rsidRPr="00550857">
        <w:rPr>
          <w:highlight w:val="yellow"/>
        </w:rPr>
        <w:t>Contractor</w:t>
      </w:r>
      <w:r w:rsidRPr="00550857">
        <w:t>] becomes aware where either:</w:t>
      </w:r>
    </w:p>
    <w:p w14:paraId="0DC32307" w14:textId="77777777" w:rsidR="00550857" w:rsidRPr="00550857" w:rsidRDefault="00550857" w:rsidP="00B02E55">
      <w:pPr>
        <w:pStyle w:val="ListNumber3"/>
      </w:pPr>
      <w:r w:rsidRPr="00550857">
        <w:t>the disclosure relates to the [</w:t>
      </w:r>
      <w:r w:rsidRPr="00550857">
        <w:rPr>
          <w:highlight w:val="yellow"/>
        </w:rPr>
        <w:t>Agency</w:t>
      </w:r>
      <w:r w:rsidRPr="00550857">
        <w:t xml:space="preserve">]; or </w:t>
      </w:r>
    </w:p>
    <w:p w14:paraId="12237E97" w14:textId="77777777" w:rsidR="00550857" w:rsidRPr="00550857" w:rsidRDefault="00550857" w:rsidP="00B02E55">
      <w:pPr>
        <w:pStyle w:val="ListNumber3"/>
      </w:pPr>
      <w:r w:rsidRPr="00550857">
        <w:t>the maker of the disclosure is known to be a public official associated with the [</w:t>
      </w:r>
      <w:r w:rsidRPr="00550857">
        <w:rPr>
          <w:highlight w:val="yellow"/>
        </w:rPr>
        <w:t>Agency</w:t>
      </w:r>
      <w:r w:rsidRPr="00550857">
        <w:t xml:space="preserve">]. </w:t>
      </w:r>
    </w:p>
    <w:p w14:paraId="76BC1F6C" w14:textId="77777777" w:rsidR="00550857" w:rsidRPr="00737582" w:rsidRDefault="00550857" w:rsidP="00CA2833">
      <w:pPr>
        <w:pStyle w:val="BodyText"/>
      </w:pPr>
      <w:r w:rsidRPr="00737582">
        <w:t>[</w:t>
      </w:r>
      <w:r w:rsidRPr="00737582">
        <w:rPr>
          <w:highlight w:val="yellow"/>
        </w:rPr>
        <w:t xml:space="preserve">Note: s. 20 of the PID Act (Key terms – relationships) contains definitions of “relates to” and “associated with”. In addition to </w:t>
      </w:r>
      <w:proofErr w:type="spellStart"/>
      <w:r w:rsidRPr="00737582">
        <w:rPr>
          <w:highlight w:val="yellow"/>
        </w:rPr>
        <w:t>subcl</w:t>
      </w:r>
      <w:proofErr w:type="spellEnd"/>
      <w:r w:rsidRPr="00737582">
        <w:rPr>
          <w:highlight w:val="yellow"/>
        </w:rPr>
        <w:t>. (1), the Agency may wish to include a note to this effect to draw the Contractor’s attention to these key terms.</w:t>
      </w:r>
      <w:r w:rsidRPr="00737582">
        <w:t>]</w:t>
      </w:r>
    </w:p>
    <w:p w14:paraId="2A0E77C2" w14:textId="77777777" w:rsidR="00550857" w:rsidRPr="00550857" w:rsidRDefault="00550857" w:rsidP="00CA2833">
      <w:pPr>
        <w:pStyle w:val="ListNumber2"/>
      </w:pPr>
      <w:r w:rsidRPr="00550857">
        <w:t>The [</w:t>
      </w:r>
      <w:r w:rsidRPr="00550857">
        <w:rPr>
          <w:highlight w:val="yellow"/>
        </w:rPr>
        <w:t>Contractor</w:t>
      </w:r>
      <w:r w:rsidRPr="00550857">
        <w:t>] must notify the [</w:t>
      </w:r>
      <w:r w:rsidRPr="00550857">
        <w:rPr>
          <w:highlight w:val="yellow"/>
        </w:rPr>
        <w:t>Agency</w:t>
      </w:r>
      <w:r w:rsidRPr="00550857">
        <w:t>] of serious wrongdoing committed, or alleged to be committed, by an individual providing services under this [</w:t>
      </w:r>
      <w:r w:rsidRPr="00550857">
        <w:rPr>
          <w:highlight w:val="yellow"/>
        </w:rPr>
        <w:t>Agreement</w:t>
      </w:r>
      <w:r w:rsidRPr="00550857">
        <w:t xml:space="preserve">]. </w:t>
      </w:r>
    </w:p>
    <w:p w14:paraId="08151B55" w14:textId="77777777" w:rsidR="00550857" w:rsidRPr="00737582" w:rsidRDefault="00550857" w:rsidP="00CA2833">
      <w:pPr>
        <w:pStyle w:val="BodyText"/>
        <w:rPr>
          <w:highlight w:val="yellow"/>
        </w:rPr>
      </w:pPr>
      <w:r w:rsidRPr="00737582">
        <w:t>[</w:t>
      </w:r>
      <w:r w:rsidRPr="00737582">
        <w:rPr>
          <w:highlight w:val="yellow"/>
        </w:rPr>
        <w:t xml:space="preserve">Note: s. 82(2) of the PID Act does not specify any procedural requirements in respect of notification under this provision. In its current form, this clause will likely pick up any other notification clauses in the Agreement generally (for example, which require notifications to be in writing and given to a specified person). An Agency may consider amending this clause, other </w:t>
      </w:r>
      <w:r w:rsidRPr="00737582">
        <w:rPr>
          <w:highlight w:val="yellow"/>
        </w:rPr>
        <w:lastRenderedPageBreak/>
        <w:t>general notification provisions, or the Agency’s relevant policies to ensure that notifications under this clause are received in an appropriate timeframe.]</w:t>
      </w:r>
    </w:p>
    <w:p w14:paraId="2CC634CB" w14:textId="77777777" w:rsidR="00550857" w:rsidRPr="00550857" w:rsidRDefault="00550857" w:rsidP="00CA2833">
      <w:pPr>
        <w:pStyle w:val="ListNumber2"/>
      </w:pPr>
      <w:r w:rsidRPr="00550857">
        <w:t>The [</w:t>
      </w:r>
      <w:r w:rsidRPr="00550857">
        <w:rPr>
          <w:highlight w:val="yellow"/>
        </w:rPr>
        <w:t>Contractor</w:t>
      </w:r>
      <w:r w:rsidRPr="00550857">
        <w:t>] must use its best endeavours to assist in an investigation of serious wrongdoing if requested to do so by a person dealing with a voluntary public disclosure on behalf of the [</w:t>
      </w:r>
      <w:r w:rsidRPr="00550857">
        <w:rPr>
          <w:highlight w:val="yellow"/>
        </w:rPr>
        <w:t>Agency</w:t>
      </w:r>
      <w:r w:rsidRPr="00550857">
        <w:t xml:space="preserve">] or any other agency (as defined in the PID Act). </w:t>
      </w:r>
    </w:p>
    <w:p w14:paraId="4AE409F7" w14:textId="77777777" w:rsidR="00550857" w:rsidRPr="00550857" w:rsidRDefault="00550857" w:rsidP="00CA2833">
      <w:pPr>
        <w:pStyle w:val="ListNumber2"/>
      </w:pPr>
      <w:r w:rsidRPr="00550857">
        <w:t>The [</w:t>
      </w:r>
      <w:r w:rsidRPr="00550857">
        <w:rPr>
          <w:highlight w:val="yellow"/>
        </w:rPr>
        <w:t>Contractor</w:t>
      </w:r>
      <w:r w:rsidRPr="00550857">
        <w:t>] acknowledges that:</w:t>
      </w:r>
    </w:p>
    <w:p w14:paraId="295F27BE" w14:textId="77777777" w:rsidR="00550857" w:rsidRPr="00550857" w:rsidRDefault="00550857" w:rsidP="00B02E55">
      <w:pPr>
        <w:pStyle w:val="ListNumber3"/>
      </w:pPr>
      <w:r w:rsidRPr="00550857">
        <w:t>the [</w:t>
      </w:r>
      <w:r w:rsidRPr="00550857">
        <w:rPr>
          <w:highlight w:val="yellow"/>
        </w:rPr>
        <w:t>Agency</w:t>
      </w:r>
      <w:r w:rsidRPr="00550857">
        <w:t>] has an obligation to take corrective action under s. 66 of the PID Act; and</w:t>
      </w:r>
    </w:p>
    <w:p w14:paraId="428463CA" w14:textId="77777777" w:rsidR="00550857" w:rsidRPr="00550857" w:rsidRDefault="00550857" w:rsidP="00B02E55">
      <w:pPr>
        <w:pStyle w:val="ListNumber3"/>
      </w:pPr>
      <w:r w:rsidRPr="00550857">
        <w:t>the [</w:t>
      </w:r>
      <w:r w:rsidRPr="00550857">
        <w:rPr>
          <w:highlight w:val="yellow"/>
        </w:rPr>
        <w:t>Agency</w:t>
      </w:r>
      <w:r w:rsidRPr="00550857">
        <w:t>] has a right to terminate the [</w:t>
      </w:r>
      <w:r w:rsidRPr="00550857">
        <w:rPr>
          <w:highlight w:val="yellow"/>
        </w:rPr>
        <w:t>Agreement</w:t>
      </w:r>
      <w:r w:rsidRPr="00550857">
        <w:t>] in response to a finding of serious wrongdoing or other misconduct involving the [</w:t>
      </w:r>
      <w:r w:rsidRPr="00550857">
        <w:rPr>
          <w:highlight w:val="yellow"/>
        </w:rPr>
        <w:t>Contractor</w:t>
      </w:r>
      <w:r w:rsidRPr="00550857">
        <w:t>] or an individual providing services under this [</w:t>
      </w:r>
      <w:r w:rsidRPr="00550857">
        <w:rPr>
          <w:highlight w:val="yellow"/>
        </w:rPr>
        <w:t>Agreement</w:t>
      </w:r>
      <w:r w:rsidRPr="00550857">
        <w:t xml:space="preserve">]. </w:t>
      </w:r>
    </w:p>
    <w:p w14:paraId="6BF505F6" w14:textId="77777777" w:rsidR="00550857" w:rsidRPr="00737582" w:rsidRDefault="00550857" w:rsidP="00CA2833">
      <w:pPr>
        <w:pStyle w:val="BodyText"/>
      </w:pPr>
      <w:r w:rsidRPr="00737582">
        <w:t>[</w:t>
      </w:r>
      <w:r w:rsidRPr="00737582">
        <w:rPr>
          <w:highlight w:val="yellow"/>
        </w:rPr>
        <w:t>Note 1: the Agency should also consider including a provision in the termination clause which specifically provides: “The Agency may terminate this Agreement in response to a finding of serious wrongdoing or other misconduct involving the Contractor or an individual providing services under this Agreement”. The termination procedures applying to other breaches under the Agreement may also apply to this right to terminate, and will depend on the Agreement.</w:t>
      </w:r>
      <w:r w:rsidRPr="00737582">
        <w:t xml:space="preserve">] </w:t>
      </w:r>
    </w:p>
    <w:p w14:paraId="31F29672" w14:textId="77777777" w:rsidR="00550857" w:rsidRPr="00737582" w:rsidRDefault="00550857" w:rsidP="00CA2833">
      <w:pPr>
        <w:pStyle w:val="BodyText"/>
      </w:pPr>
      <w:r w:rsidRPr="00737582">
        <w:rPr>
          <w:highlight w:val="yellow"/>
        </w:rPr>
        <w:t>[Note 2:  an Agency may wish to include a note to draw the Contractor’s attention to the potential for corrective actions that might affect a Contractor under PID Act s. 66, for example (but without limitation), under s. 66(4)(e) or 66(4)(f).]</w:t>
      </w:r>
    </w:p>
    <w:p w14:paraId="4282526E" w14:textId="77777777" w:rsidR="00550857" w:rsidRPr="00737582" w:rsidRDefault="00550857" w:rsidP="00CA2833">
      <w:pPr>
        <w:pStyle w:val="BodyText"/>
      </w:pPr>
      <w:r w:rsidRPr="00737582">
        <w:rPr>
          <w:highlight w:val="yellow"/>
        </w:rPr>
        <w:t>[Note 3: noting that an Agency may take corrective action in the form of the payment of compensation to persons affected by serious wrongdoing or other misconduct under the PID Act s. 66(4)(f), an Agency may wish to include a provision in the indemnity clause of the Agreement which specifically provides that the Contractor will indemnify the Agency in relation to any payment of compensation by the Agency under s. 66 of the PID Act arising from or in connection with any serious wrongdoing or other misconduct involving the Contractor or an individual providing services under this Agreement. The specific wording for such a clause will depend on the drafting and structure of the Agreement’s indemnity clause.]</w:t>
      </w:r>
    </w:p>
    <w:p w14:paraId="1CA11696" w14:textId="77777777" w:rsidR="00550857" w:rsidRPr="00550857" w:rsidRDefault="00550857" w:rsidP="00CA2833">
      <w:pPr>
        <w:pStyle w:val="ListNumber2"/>
      </w:pPr>
      <w:r w:rsidRPr="00550857">
        <w:t>If the [</w:t>
      </w:r>
      <w:r w:rsidRPr="00550857">
        <w:rPr>
          <w:highlight w:val="yellow"/>
        </w:rPr>
        <w:t>Contractor</w:t>
      </w:r>
      <w:r w:rsidRPr="00550857">
        <w:t>] subcontracts the [</w:t>
      </w:r>
      <w:r w:rsidRPr="00550857">
        <w:rPr>
          <w:highlight w:val="yellow"/>
        </w:rPr>
        <w:t>Agreement</w:t>
      </w:r>
      <w:r w:rsidRPr="00550857">
        <w:t>] in whole or in part, the [</w:t>
      </w:r>
      <w:r w:rsidRPr="00550857">
        <w:rPr>
          <w:highlight w:val="yellow"/>
        </w:rPr>
        <w:t>Contractor</w:t>
      </w:r>
      <w:r w:rsidRPr="00550857">
        <w:t>] must ensure that the subcontract contains terms binding the person or body engaged under the subcontract that are equivalent to the terms binding the [</w:t>
      </w:r>
      <w:r w:rsidRPr="00550857">
        <w:rPr>
          <w:highlight w:val="yellow"/>
        </w:rPr>
        <w:t>Contractor</w:t>
      </w:r>
      <w:r w:rsidRPr="00550857">
        <w:t>] in this cl. [</w:t>
      </w:r>
      <w:r w:rsidRPr="00550857">
        <w:rPr>
          <w:highlight w:val="yellow"/>
        </w:rPr>
        <w:t>X</w:t>
      </w:r>
      <w:r w:rsidRPr="00550857">
        <w:t xml:space="preserve">] (Public Interest Disclosures). </w:t>
      </w:r>
    </w:p>
    <w:p w14:paraId="6AEC3D0D" w14:textId="77777777" w:rsidR="00550857" w:rsidRPr="00737582" w:rsidRDefault="00550857" w:rsidP="00CA2833">
      <w:pPr>
        <w:pStyle w:val="BodyText"/>
      </w:pPr>
      <w:r w:rsidRPr="00737582">
        <w:t>[</w:t>
      </w:r>
      <w:r w:rsidRPr="00737582">
        <w:rPr>
          <w:highlight w:val="yellow"/>
        </w:rPr>
        <w:t>Note: this subclause may be deleted if the Agreement does not permit the Contractor to subcontract the Agreement or any part of the Agreement.</w:t>
      </w:r>
      <w:r w:rsidRPr="00737582">
        <w:t xml:space="preserve">]  </w:t>
      </w:r>
    </w:p>
    <w:p w14:paraId="03EEFD49" w14:textId="77777777" w:rsidR="00550857" w:rsidRPr="00550857" w:rsidRDefault="00550857" w:rsidP="00CA2833">
      <w:pPr>
        <w:pStyle w:val="ListNumber2"/>
      </w:pPr>
      <w:r w:rsidRPr="00550857">
        <w:t>The [</w:t>
      </w:r>
      <w:r w:rsidRPr="00550857">
        <w:rPr>
          <w:highlight w:val="yellow"/>
        </w:rPr>
        <w:t>Parties</w:t>
      </w:r>
      <w:r w:rsidRPr="00550857">
        <w:t xml:space="preserve">] acknowledge that the regulations made under the PID Act may make further provision about terms that must, or must not, be included in an agency service contract or a class of agency service contracts. </w:t>
      </w:r>
      <w:bookmarkEnd w:id="1"/>
      <w:bookmarkEnd w:id="2"/>
      <w:bookmarkEnd w:id="3"/>
      <w:bookmarkEnd w:id="4"/>
    </w:p>
    <w:p w14:paraId="027779D1" w14:textId="77777777" w:rsidR="00550857" w:rsidRPr="00737582" w:rsidRDefault="00550857" w:rsidP="00CA2833">
      <w:pPr>
        <w:pStyle w:val="BodyText"/>
      </w:pPr>
      <w:r w:rsidRPr="00737582">
        <w:t>[</w:t>
      </w:r>
      <w:r w:rsidRPr="00737582">
        <w:rPr>
          <w:highlight w:val="yellow"/>
        </w:rPr>
        <w:t>Note: Agencies when using this PID clause should check the regulations made under the PID Act and seek to incorporate any requirements to include or not include a particular term in the Agreement at the time of Agreement preparation. Clause 2.8 may operate as both a prompt to the parties and/or as a ‘backstop’, so that the contract parties remain aware that PID Regulations might be made that are relevant.</w:t>
      </w:r>
      <w:r w:rsidRPr="00737582">
        <w:t xml:space="preserve">]  </w:t>
      </w:r>
    </w:p>
    <w:sectPr w:rsidR="00550857" w:rsidRPr="00737582" w:rsidSect="002B7ECB">
      <w:footerReference w:type="default" r:id="rId8"/>
      <w:headerReference w:type="first" r:id="rId9"/>
      <w:footerReference w:type="first" r:id="rId10"/>
      <w:type w:val="continuous"/>
      <w:pgSz w:w="11906" w:h="16838" w:code="9"/>
      <w:pgMar w:top="1701" w:right="851" w:bottom="170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F95F1" w14:textId="77777777" w:rsidR="00120E5A" w:rsidRDefault="00120E5A" w:rsidP="00921FD3">
      <w:r>
        <w:separator/>
      </w:r>
    </w:p>
  </w:endnote>
  <w:endnote w:type="continuationSeparator" w:id="0">
    <w:p w14:paraId="5F4DA41D" w14:textId="77777777" w:rsidR="00120E5A" w:rsidRDefault="00120E5A"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libri"/>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altName w:val="Calibri"/>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15360" w14:textId="77777777" w:rsidR="005F3C7E" w:rsidRPr="000C2807" w:rsidRDefault="005F3C7E" w:rsidP="005F3C7E">
    <w:pPr>
      <w:pStyle w:val="Footerwhiteline"/>
    </w:pPr>
  </w:p>
  <w:p w14:paraId="17686DAF" w14:textId="77777777" w:rsidR="004F4880" w:rsidRPr="00C44E6C" w:rsidRDefault="00AA57D6" w:rsidP="00C44E6C">
    <w:pPr>
      <w:pStyle w:val="Footer"/>
    </w:pPr>
    <w:r w:rsidRPr="00C44E6C">
      <w:ptab w:relativeTo="margin" w:alignment="right" w:leader="none"/>
    </w:r>
    <w:r w:rsidRPr="00C44E6C">
      <w:fldChar w:fldCharType="begin"/>
    </w:r>
    <w:r w:rsidRPr="00C44E6C">
      <w:instrText xml:space="preserve"> PAGE   \* MERGEFORMAT </w:instrText>
    </w:r>
    <w:r w:rsidRPr="00C44E6C">
      <w:fldChar w:fldCharType="separate"/>
    </w:r>
    <w:r w:rsidR="000A4E4F">
      <w:rPr>
        <w:noProof/>
      </w:rPr>
      <w:t>2</w:t>
    </w:r>
    <w:r w:rsidRPr="00C44E6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D6BFC" w14:textId="77777777" w:rsidR="005F3C7E" w:rsidRPr="000C2807" w:rsidRDefault="005F3C7E" w:rsidP="005F3C7E">
    <w:pPr>
      <w:pStyle w:val="Footerwhiteline"/>
    </w:pPr>
  </w:p>
  <w:p w14:paraId="59E449A8" w14:textId="77777777" w:rsidR="004F043F" w:rsidRPr="00AA57D6" w:rsidRDefault="002E7121" w:rsidP="00C44E6C">
    <w:pPr>
      <w:pStyle w:val="Footer"/>
    </w:pPr>
    <w:r w:rsidRPr="00AA57D6">
      <w:ptab w:relativeTo="margin" w:alignment="right" w:leader="none"/>
    </w:r>
    <w:r w:rsidRPr="00AA57D6">
      <w:fldChar w:fldCharType="begin"/>
    </w:r>
    <w:r w:rsidRPr="00AA57D6">
      <w:instrText xml:space="preserve"> PAGE   \* MERGEFORMAT </w:instrText>
    </w:r>
    <w:r w:rsidRPr="00AA57D6">
      <w:fldChar w:fldCharType="separate"/>
    </w:r>
    <w:r w:rsidR="006B2C92">
      <w:rPr>
        <w:noProof/>
      </w:rPr>
      <w:t>1</w:t>
    </w:r>
    <w:r w:rsidRPr="00AA57D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FA640" w14:textId="77777777" w:rsidR="00120E5A" w:rsidRDefault="00120E5A" w:rsidP="00921FD3">
      <w:r>
        <w:separator/>
      </w:r>
    </w:p>
  </w:footnote>
  <w:footnote w:type="continuationSeparator" w:id="0">
    <w:p w14:paraId="5DB662A1" w14:textId="77777777" w:rsidR="00120E5A" w:rsidRDefault="00120E5A"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6F605" w14:textId="77777777" w:rsidR="003E5CA8" w:rsidRDefault="003E5CA8" w:rsidP="003E5CA8">
    <w:pPr>
      <w:pStyle w:val="Header"/>
    </w:pPr>
    <w:r>
      <w:rPr>
        <w:noProof/>
      </w:rPr>
      <mc:AlternateContent>
        <mc:Choice Requires="wps">
          <w:drawing>
            <wp:anchor distT="0" distB="0" distL="114300" distR="114300" simplePos="0" relativeHeight="251659264" behindDoc="1" locked="0" layoutInCell="1" allowOverlap="1" wp14:anchorId="6F5AB444" wp14:editId="05C28FBD">
              <wp:simplePos x="0" y="0"/>
              <wp:positionH relativeFrom="page">
                <wp:align>center</wp:align>
              </wp:positionH>
              <wp:positionV relativeFrom="page">
                <wp:align>top</wp:align>
              </wp:positionV>
              <wp:extent cx="7560000" cy="1440000"/>
              <wp:effectExtent l="0" t="0" r="3175" b="825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440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B9084" id="Rectangle 5" o:spid="_x0000_s1026" alt="&quot;&quot;" style="position:absolute;margin-left:0;margin-top:0;width:595.3pt;height:113.4pt;z-index:-251657216;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" fillcolor="#cbedfd [3205]" stroked="f" strokeweight="1pt">
              <w10:wrap anchorx="page" anchory="page"/>
            </v:rect>
          </w:pict>
        </mc:Fallback>
      </mc:AlternateContent>
    </w:r>
  </w:p>
  <w:p w14:paraId="5398D124" w14:textId="77777777" w:rsidR="005E0D17" w:rsidRPr="003E5CA8" w:rsidRDefault="003E5CA8" w:rsidP="003E5CA8">
    <w:pPr>
      <w:pStyle w:val="DescriptororNameSmall"/>
    </w:pPr>
    <w:r>
      <w:rPr>
        <w:noProof/>
      </w:rPr>
      <w:drawing>
        <wp:anchor distT="0" distB="0" distL="114300" distR="114300" simplePos="0" relativeHeight="251660288" behindDoc="0" locked="0" layoutInCell="1" allowOverlap="1" wp14:anchorId="14110308" wp14:editId="6BADF450">
          <wp:simplePos x="0" y="0"/>
          <wp:positionH relativeFrom="margin">
            <wp:align>right</wp:align>
          </wp:positionH>
          <wp:positionV relativeFrom="page">
            <wp:posOffset>540385</wp:posOffset>
          </wp:positionV>
          <wp:extent cx="666000" cy="720000"/>
          <wp:effectExtent l="0" t="0" r="1270" b="4445"/>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14:sizeRelH relativeFrom="margin">
            <wp14:pctWidth>0</wp14:pctWidth>
          </wp14:sizeRelH>
          <wp14:sizeRelV relativeFrom="margin">
            <wp14:pctHeight>0</wp14:pctHeight>
          </wp14:sizeRelV>
        </wp:anchor>
      </w:drawing>
    </w:r>
    <w:r w:rsidR="000B71C1">
      <w:t>NSW Treasury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5676C"/>
    <w:multiLevelType w:val="hybridMultilevel"/>
    <w:tmpl w:val="E9C6FEBE"/>
    <w:lvl w:ilvl="0" w:tplc="E0803700">
      <w:start w:val="1"/>
      <w:numFmt w:val="lowerLetter"/>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 w15:restartNumberingAfterBreak="0">
    <w:nsid w:val="18942059"/>
    <w:multiLevelType w:val="multilevel"/>
    <w:tmpl w:val="3646828E"/>
    <w:lvl w:ilvl="0">
      <w:start w:val="1"/>
      <w:numFmt w:val="decimal"/>
      <w:pStyle w:val="ListNumber"/>
      <w:lvlText w:val="%1."/>
      <w:lvlJc w:val="left"/>
      <w:pPr>
        <w:tabs>
          <w:tab w:val="num" w:pos="680"/>
        </w:tabs>
        <w:ind w:left="680" w:hanging="680"/>
      </w:pPr>
      <w:rPr>
        <w:rFonts w:hint="default"/>
        <w:color w:val="22272B" w:themeColor="text1"/>
      </w:rPr>
    </w:lvl>
    <w:lvl w:ilvl="1">
      <w:start w:val="1"/>
      <w:numFmt w:val="decimal"/>
      <w:pStyle w:val="ListNumber2"/>
      <w:lvlText w:val="%1.%2"/>
      <w:lvlJc w:val="left"/>
      <w:pPr>
        <w:tabs>
          <w:tab w:val="num" w:pos="680"/>
        </w:tabs>
        <w:ind w:left="680" w:hanging="680"/>
      </w:pPr>
      <w:rPr>
        <w:rFonts w:hint="default"/>
        <w:b w:val="0"/>
        <w:i w:val="0"/>
        <w:caps w:val="0"/>
        <w:strike w:val="0"/>
        <w:dstrike w:val="0"/>
        <w:vanish w:val="0"/>
        <w:sz w:val="22"/>
        <w:vertAlign w:val="baseline"/>
      </w:rPr>
    </w:lvl>
    <w:lvl w:ilvl="2">
      <w:start w:val="1"/>
      <w:numFmt w:val="lowerLetter"/>
      <w:pStyle w:val="ListNumber3"/>
      <w:lvlText w:val="(%3)"/>
      <w:lvlJc w:val="left"/>
      <w:pPr>
        <w:tabs>
          <w:tab w:val="num" w:pos="1134"/>
        </w:tabs>
        <w:ind w:left="1134" w:hanging="45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D156394"/>
    <w:multiLevelType w:val="hybridMultilevel"/>
    <w:tmpl w:val="69EE43A6"/>
    <w:lvl w:ilvl="0" w:tplc="D2C2E362">
      <w:start w:val="1"/>
      <w:numFmt w:val="lowerRoman"/>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3"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4"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 w15:restartNumberingAfterBreak="0">
    <w:nsid w:val="5DA140FE"/>
    <w:multiLevelType w:val="multilevel"/>
    <w:tmpl w:val="D1068A2E"/>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num w:numId="1" w16cid:durableId="957488590">
    <w:abstractNumId w:val="4"/>
  </w:num>
  <w:num w:numId="2" w16cid:durableId="108285251">
    <w:abstractNumId w:val="5"/>
  </w:num>
  <w:num w:numId="3" w16cid:durableId="239021523">
    <w:abstractNumId w:val="3"/>
  </w:num>
  <w:num w:numId="4" w16cid:durableId="1155537546">
    <w:abstractNumId w:val="0"/>
  </w:num>
  <w:num w:numId="5" w16cid:durableId="2018381957">
    <w:abstractNumId w:val="2"/>
  </w:num>
  <w:num w:numId="6" w16cid:durableId="2057851123">
    <w:abstractNumId w:val="1"/>
  </w:num>
  <w:num w:numId="7" w16cid:durableId="112797711">
    <w:abstractNumId w:val="1"/>
    <w:lvlOverride w:ilvl="0">
      <w:startOverride w:val="1"/>
    </w:lvlOverride>
  </w:num>
  <w:num w:numId="8" w16cid:durableId="1763408188">
    <w:abstractNumId w:val="0"/>
    <w:lvlOverride w:ilvl="0">
      <w:startOverride w:val="1"/>
    </w:lvlOverride>
  </w:num>
  <w:num w:numId="9" w16cid:durableId="2061897462">
    <w:abstractNumId w:val="2"/>
    <w:lvlOverride w:ilvl="0">
      <w:startOverride w:val="1"/>
    </w:lvlOverride>
  </w:num>
  <w:num w:numId="10" w16cid:durableId="2012488475">
    <w:abstractNumId w:val="4"/>
  </w:num>
  <w:num w:numId="11" w16cid:durableId="529342692">
    <w:abstractNumId w:val="1"/>
  </w:num>
  <w:num w:numId="12" w16cid:durableId="310643300">
    <w:abstractNumId w:val="5"/>
  </w:num>
  <w:num w:numId="13" w16cid:durableId="150608425">
    <w:abstractNumId w:val="3"/>
  </w:num>
  <w:num w:numId="14" w16cid:durableId="204490319">
    <w:abstractNumId w:val="0"/>
  </w:num>
  <w:num w:numId="15" w16cid:durableId="983661485">
    <w:abstractNumId w:val="2"/>
  </w:num>
  <w:num w:numId="16" w16cid:durableId="610163620">
    <w:abstractNumId w:val="5"/>
  </w:num>
  <w:num w:numId="17" w16cid:durableId="1961184718">
    <w:abstractNumId w:val="3"/>
  </w:num>
  <w:num w:numId="18" w16cid:durableId="1104954480">
    <w:abstractNumId w:val="4"/>
  </w:num>
  <w:num w:numId="19" w16cid:durableId="1010832276">
    <w:abstractNumId w:val="0"/>
  </w:num>
  <w:num w:numId="20" w16cid:durableId="771510764">
    <w:abstractNumId w:val="2"/>
  </w:num>
  <w:num w:numId="21" w16cid:durableId="282814313">
    <w:abstractNumId w:val="1"/>
  </w:num>
  <w:num w:numId="22" w16cid:durableId="2093892566">
    <w:abstractNumId w:val="4"/>
    <w:lvlOverride w:ilvl="0">
      <w:startOverride w:val="1"/>
    </w:lvlOverride>
  </w:num>
  <w:num w:numId="23" w16cid:durableId="1418289644">
    <w:abstractNumId w:val="5"/>
    <w:lvlOverride w:ilvl="0">
      <w:startOverride w:val="1"/>
    </w:lvlOverride>
  </w:num>
  <w:num w:numId="24" w16cid:durableId="1740441078">
    <w:abstractNumId w:val="3"/>
    <w:lvlOverride w:ilvl="0">
      <w:startOverride w:val="1"/>
    </w:lvlOverride>
  </w:num>
  <w:num w:numId="25" w16cid:durableId="944189509">
    <w:abstractNumId w:val="5"/>
  </w:num>
  <w:num w:numId="26" w16cid:durableId="879980524">
    <w:abstractNumId w:val="3"/>
  </w:num>
  <w:num w:numId="27" w16cid:durableId="1954901910">
    <w:abstractNumId w:val="4"/>
  </w:num>
  <w:num w:numId="28" w16cid:durableId="1444231146">
    <w:abstractNumId w:val="0"/>
  </w:num>
  <w:num w:numId="29" w16cid:durableId="660279562">
    <w:abstractNumId w:val="2"/>
  </w:num>
  <w:num w:numId="30" w16cid:durableId="454256899">
    <w:abstractNumId w:val="1"/>
  </w:num>
  <w:num w:numId="31" w16cid:durableId="1139492378">
    <w:abstractNumId w:val="5"/>
  </w:num>
  <w:num w:numId="32" w16cid:durableId="420642579">
    <w:abstractNumId w:val="3"/>
  </w:num>
  <w:num w:numId="33" w16cid:durableId="1432243899">
    <w:abstractNumId w:val="4"/>
  </w:num>
  <w:num w:numId="34" w16cid:durableId="286012239">
    <w:abstractNumId w:val="0"/>
  </w:num>
  <w:num w:numId="35" w16cid:durableId="353850906">
    <w:abstractNumId w:val="2"/>
  </w:num>
  <w:num w:numId="36" w16cid:durableId="2033454980">
    <w:abstractNumId w:val="1"/>
  </w:num>
  <w:num w:numId="37" w16cid:durableId="1706560024">
    <w:abstractNumId w:val="4"/>
  </w:num>
  <w:num w:numId="38" w16cid:durableId="892236713">
    <w:abstractNumId w:val="1"/>
  </w:num>
  <w:num w:numId="39" w16cid:durableId="46277308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A98"/>
    <w:rsid w:val="00002C93"/>
    <w:rsid w:val="000100A3"/>
    <w:rsid w:val="000207C0"/>
    <w:rsid w:val="00024EAB"/>
    <w:rsid w:val="00030C2E"/>
    <w:rsid w:val="000319D3"/>
    <w:rsid w:val="000369F8"/>
    <w:rsid w:val="00046ACD"/>
    <w:rsid w:val="0005359F"/>
    <w:rsid w:val="00076C3E"/>
    <w:rsid w:val="00081FBB"/>
    <w:rsid w:val="00090890"/>
    <w:rsid w:val="000A4E4F"/>
    <w:rsid w:val="000B440B"/>
    <w:rsid w:val="000B71C1"/>
    <w:rsid w:val="000C5D52"/>
    <w:rsid w:val="000D1B21"/>
    <w:rsid w:val="000D5CAC"/>
    <w:rsid w:val="000D6B77"/>
    <w:rsid w:val="000E0434"/>
    <w:rsid w:val="000E76A1"/>
    <w:rsid w:val="0010057F"/>
    <w:rsid w:val="001015E2"/>
    <w:rsid w:val="00101AD6"/>
    <w:rsid w:val="001106A0"/>
    <w:rsid w:val="00111775"/>
    <w:rsid w:val="00120E5A"/>
    <w:rsid w:val="0013204F"/>
    <w:rsid w:val="0013421B"/>
    <w:rsid w:val="0014157C"/>
    <w:rsid w:val="001419CE"/>
    <w:rsid w:val="001476EF"/>
    <w:rsid w:val="00150CAE"/>
    <w:rsid w:val="001728CA"/>
    <w:rsid w:val="001A628B"/>
    <w:rsid w:val="001B1209"/>
    <w:rsid w:val="001D050B"/>
    <w:rsid w:val="001D4C98"/>
    <w:rsid w:val="001D7397"/>
    <w:rsid w:val="001D754D"/>
    <w:rsid w:val="001E04AA"/>
    <w:rsid w:val="001E0611"/>
    <w:rsid w:val="001E0762"/>
    <w:rsid w:val="001E56D5"/>
    <w:rsid w:val="001F422F"/>
    <w:rsid w:val="00216B6C"/>
    <w:rsid w:val="0022483C"/>
    <w:rsid w:val="00224DDA"/>
    <w:rsid w:val="00233115"/>
    <w:rsid w:val="002409AB"/>
    <w:rsid w:val="00271F9E"/>
    <w:rsid w:val="0027645B"/>
    <w:rsid w:val="002B7ECB"/>
    <w:rsid w:val="002C3FB9"/>
    <w:rsid w:val="002C73C1"/>
    <w:rsid w:val="002D06D6"/>
    <w:rsid w:val="002E2D98"/>
    <w:rsid w:val="002E34BF"/>
    <w:rsid w:val="002E7121"/>
    <w:rsid w:val="002F7AC0"/>
    <w:rsid w:val="00305D69"/>
    <w:rsid w:val="00320A84"/>
    <w:rsid w:val="00340CA0"/>
    <w:rsid w:val="003445D2"/>
    <w:rsid w:val="0035137B"/>
    <w:rsid w:val="00353985"/>
    <w:rsid w:val="0035768D"/>
    <w:rsid w:val="00364F93"/>
    <w:rsid w:val="003A44F5"/>
    <w:rsid w:val="003B19B3"/>
    <w:rsid w:val="003C0C07"/>
    <w:rsid w:val="003C3E43"/>
    <w:rsid w:val="003E1C01"/>
    <w:rsid w:val="003E5CA8"/>
    <w:rsid w:val="003F443B"/>
    <w:rsid w:val="003F5577"/>
    <w:rsid w:val="004000B5"/>
    <w:rsid w:val="00403322"/>
    <w:rsid w:val="00404B96"/>
    <w:rsid w:val="00414BBA"/>
    <w:rsid w:val="0043431C"/>
    <w:rsid w:val="00473FB7"/>
    <w:rsid w:val="00482BB0"/>
    <w:rsid w:val="00482E74"/>
    <w:rsid w:val="004A4836"/>
    <w:rsid w:val="004A6EA8"/>
    <w:rsid w:val="004A7EA0"/>
    <w:rsid w:val="004C0152"/>
    <w:rsid w:val="004C02EC"/>
    <w:rsid w:val="004C1A21"/>
    <w:rsid w:val="004C1FE7"/>
    <w:rsid w:val="004C35B2"/>
    <w:rsid w:val="004C79AD"/>
    <w:rsid w:val="004D5979"/>
    <w:rsid w:val="004D6E70"/>
    <w:rsid w:val="004F043F"/>
    <w:rsid w:val="004F4880"/>
    <w:rsid w:val="004F668A"/>
    <w:rsid w:val="004F6D4C"/>
    <w:rsid w:val="004F77CB"/>
    <w:rsid w:val="00500B67"/>
    <w:rsid w:val="0051606F"/>
    <w:rsid w:val="00520735"/>
    <w:rsid w:val="005218C6"/>
    <w:rsid w:val="0052585B"/>
    <w:rsid w:val="00526AB3"/>
    <w:rsid w:val="0053238E"/>
    <w:rsid w:val="00544B20"/>
    <w:rsid w:val="00544E33"/>
    <w:rsid w:val="00550857"/>
    <w:rsid w:val="00550F70"/>
    <w:rsid w:val="005668BE"/>
    <w:rsid w:val="0057167A"/>
    <w:rsid w:val="00586CF7"/>
    <w:rsid w:val="00587F9E"/>
    <w:rsid w:val="0059207E"/>
    <w:rsid w:val="00594DAC"/>
    <w:rsid w:val="005A0F5B"/>
    <w:rsid w:val="005A1041"/>
    <w:rsid w:val="005A1CD9"/>
    <w:rsid w:val="005A3365"/>
    <w:rsid w:val="005A3D3C"/>
    <w:rsid w:val="005A4D28"/>
    <w:rsid w:val="005A7D08"/>
    <w:rsid w:val="005B2F8C"/>
    <w:rsid w:val="005C5152"/>
    <w:rsid w:val="005C7C60"/>
    <w:rsid w:val="005D28D4"/>
    <w:rsid w:val="005D66AB"/>
    <w:rsid w:val="005E0D17"/>
    <w:rsid w:val="005E5EC0"/>
    <w:rsid w:val="005F1786"/>
    <w:rsid w:val="005F252B"/>
    <w:rsid w:val="005F3C7E"/>
    <w:rsid w:val="005F4E21"/>
    <w:rsid w:val="0061342B"/>
    <w:rsid w:val="006252BD"/>
    <w:rsid w:val="006269DD"/>
    <w:rsid w:val="00632C87"/>
    <w:rsid w:val="00675B76"/>
    <w:rsid w:val="0067638B"/>
    <w:rsid w:val="006A53BA"/>
    <w:rsid w:val="006B0A08"/>
    <w:rsid w:val="006B2C92"/>
    <w:rsid w:val="006C4799"/>
    <w:rsid w:val="006E4A18"/>
    <w:rsid w:val="006E76C9"/>
    <w:rsid w:val="006E79DB"/>
    <w:rsid w:val="00715674"/>
    <w:rsid w:val="0072008C"/>
    <w:rsid w:val="00722AFB"/>
    <w:rsid w:val="00727C53"/>
    <w:rsid w:val="00737582"/>
    <w:rsid w:val="00742F66"/>
    <w:rsid w:val="00761179"/>
    <w:rsid w:val="0076385B"/>
    <w:rsid w:val="00763C24"/>
    <w:rsid w:val="007772E3"/>
    <w:rsid w:val="00783174"/>
    <w:rsid w:val="00790147"/>
    <w:rsid w:val="007A2961"/>
    <w:rsid w:val="007A40B2"/>
    <w:rsid w:val="007A7FA3"/>
    <w:rsid w:val="007B1280"/>
    <w:rsid w:val="007B75E6"/>
    <w:rsid w:val="007E51BF"/>
    <w:rsid w:val="00802606"/>
    <w:rsid w:val="008027D0"/>
    <w:rsid w:val="0080630B"/>
    <w:rsid w:val="008274FF"/>
    <w:rsid w:val="00841CCB"/>
    <w:rsid w:val="0084309C"/>
    <w:rsid w:val="008433D6"/>
    <w:rsid w:val="00843A4A"/>
    <w:rsid w:val="00852196"/>
    <w:rsid w:val="00864B67"/>
    <w:rsid w:val="008740E8"/>
    <w:rsid w:val="00885FBB"/>
    <w:rsid w:val="00894241"/>
    <w:rsid w:val="0089425F"/>
    <w:rsid w:val="008A55FD"/>
    <w:rsid w:val="008B0346"/>
    <w:rsid w:val="008D5F35"/>
    <w:rsid w:val="008E262F"/>
    <w:rsid w:val="008F2510"/>
    <w:rsid w:val="008F671A"/>
    <w:rsid w:val="009022C6"/>
    <w:rsid w:val="00905970"/>
    <w:rsid w:val="00921F68"/>
    <w:rsid w:val="00921FD3"/>
    <w:rsid w:val="009220D7"/>
    <w:rsid w:val="00940A26"/>
    <w:rsid w:val="00942939"/>
    <w:rsid w:val="00946C9F"/>
    <w:rsid w:val="0095466A"/>
    <w:rsid w:val="00957BDD"/>
    <w:rsid w:val="00966A53"/>
    <w:rsid w:val="00983DB2"/>
    <w:rsid w:val="00986B43"/>
    <w:rsid w:val="00994AF2"/>
    <w:rsid w:val="009977D9"/>
    <w:rsid w:val="009A31A2"/>
    <w:rsid w:val="009A5A0A"/>
    <w:rsid w:val="009B0C2F"/>
    <w:rsid w:val="009B30B2"/>
    <w:rsid w:val="00A00CBC"/>
    <w:rsid w:val="00A010F0"/>
    <w:rsid w:val="00A05561"/>
    <w:rsid w:val="00A0763F"/>
    <w:rsid w:val="00A20D01"/>
    <w:rsid w:val="00A263B1"/>
    <w:rsid w:val="00A44A98"/>
    <w:rsid w:val="00A47B2F"/>
    <w:rsid w:val="00A65014"/>
    <w:rsid w:val="00A96CAA"/>
    <w:rsid w:val="00AA2944"/>
    <w:rsid w:val="00AA57D6"/>
    <w:rsid w:val="00AA591D"/>
    <w:rsid w:val="00AB27C8"/>
    <w:rsid w:val="00AC5770"/>
    <w:rsid w:val="00AC5A0A"/>
    <w:rsid w:val="00AD047F"/>
    <w:rsid w:val="00AD053A"/>
    <w:rsid w:val="00AD3B53"/>
    <w:rsid w:val="00AF3631"/>
    <w:rsid w:val="00B02E55"/>
    <w:rsid w:val="00B16033"/>
    <w:rsid w:val="00B17909"/>
    <w:rsid w:val="00B45C9B"/>
    <w:rsid w:val="00B4618E"/>
    <w:rsid w:val="00B71669"/>
    <w:rsid w:val="00B7379A"/>
    <w:rsid w:val="00B80503"/>
    <w:rsid w:val="00B85FC7"/>
    <w:rsid w:val="00BB00A2"/>
    <w:rsid w:val="00BB1B2B"/>
    <w:rsid w:val="00BB5E56"/>
    <w:rsid w:val="00BC2680"/>
    <w:rsid w:val="00BC6ADB"/>
    <w:rsid w:val="00BD28ED"/>
    <w:rsid w:val="00BD5B4B"/>
    <w:rsid w:val="00BE02CE"/>
    <w:rsid w:val="00BE3F7B"/>
    <w:rsid w:val="00C0393C"/>
    <w:rsid w:val="00C07569"/>
    <w:rsid w:val="00C12988"/>
    <w:rsid w:val="00C1506D"/>
    <w:rsid w:val="00C21CF3"/>
    <w:rsid w:val="00C23777"/>
    <w:rsid w:val="00C31BE6"/>
    <w:rsid w:val="00C44E6C"/>
    <w:rsid w:val="00C509DC"/>
    <w:rsid w:val="00C515B8"/>
    <w:rsid w:val="00C53291"/>
    <w:rsid w:val="00C572B1"/>
    <w:rsid w:val="00C62FCD"/>
    <w:rsid w:val="00C649CD"/>
    <w:rsid w:val="00C64F4B"/>
    <w:rsid w:val="00C82201"/>
    <w:rsid w:val="00C8237C"/>
    <w:rsid w:val="00C854AC"/>
    <w:rsid w:val="00C95A6A"/>
    <w:rsid w:val="00CA0DAF"/>
    <w:rsid w:val="00CA1B37"/>
    <w:rsid w:val="00CA23DA"/>
    <w:rsid w:val="00CA2833"/>
    <w:rsid w:val="00CA4083"/>
    <w:rsid w:val="00CA6491"/>
    <w:rsid w:val="00CA74B5"/>
    <w:rsid w:val="00CB67F0"/>
    <w:rsid w:val="00CC23CE"/>
    <w:rsid w:val="00CC400B"/>
    <w:rsid w:val="00CD1157"/>
    <w:rsid w:val="00CE00DA"/>
    <w:rsid w:val="00CE4E8A"/>
    <w:rsid w:val="00CF2F5A"/>
    <w:rsid w:val="00D015E0"/>
    <w:rsid w:val="00D01B74"/>
    <w:rsid w:val="00D1583E"/>
    <w:rsid w:val="00D16E49"/>
    <w:rsid w:val="00D20F63"/>
    <w:rsid w:val="00D2763E"/>
    <w:rsid w:val="00D3139F"/>
    <w:rsid w:val="00D4026B"/>
    <w:rsid w:val="00D42CE7"/>
    <w:rsid w:val="00D507EE"/>
    <w:rsid w:val="00D51B8A"/>
    <w:rsid w:val="00D66163"/>
    <w:rsid w:val="00D847B1"/>
    <w:rsid w:val="00D87EC4"/>
    <w:rsid w:val="00DA0CFA"/>
    <w:rsid w:val="00DB30BF"/>
    <w:rsid w:val="00DB7BED"/>
    <w:rsid w:val="00DD3473"/>
    <w:rsid w:val="00DD502A"/>
    <w:rsid w:val="00DE0CCA"/>
    <w:rsid w:val="00DE5CC1"/>
    <w:rsid w:val="00DF4166"/>
    <w:rsid w:val="00DF48E2"/>
    <w:rsid w:val="00E03D68"/>
    <w:rsid w:val="00E058A9"/>
    <w:rsid w:val="00E47FF9"/>
    <w:rsid w:val="00E54A4A"/>
    <w:rsid w:val="00E56242"/>
    <w:rsid w:val="00E62233"/>
    <w:rsid w:val="00E731A0"/>
    <w:rsid w:val="00E97EB0"/>
    <w:rsid w:val="00EA016D"/>
    <w:rsid w:val="00EA0BD8"/>
    <w:rsid w:val="00EC5769"/>
    <w:rsid w:val="00EC72BA"/>
    <w:rsid w:val="00ED7794"/>
    <w:rsid w:val="00ED7F40"/>
    <w:rsid w:val="00EF1C2A"/>
    <w:rsid w:val="00EF66A8"/>
    <w:rsid w:val="00F1403D"/>
    <w:rsid w:val="00F2157A"/>
    <w:rsid w:val="00F245B4"/>
    <w:rsid w:val="00F24CA2"/>
    <w:rsid w:val="00F31DA7"/>
    <w:rsid w:val="00F3338E"/>
    <w:rsid w:val="00F33644"/>
    <w:rsid w:val="00F35372"/>
    <w:rsid w:val="00F45586"/>
    <w:rsid w:val="00F5504A"/>
    <w:rsid w:val="00F618CD"/>
    <w:rsid w:val="00F66BA5"/>
    <w:rsid w:val="00F747BD"/>
    <w:rsid w:val="00F763D3"/>
    <w:rsid w:val="00F817D0"/>
    <w:rsid w:val="00F81FBD"/>
    <w:rsid w:val="00F92961"/>
    <w:rsid w:val="00F96C9F"/>
    <w:rsid w:val="00F971C3"/>
    <w:rsid w:val="00FA0FC5"/>
    <w:rsid w:val="00FC792C"/>
    <w:rsid w:val="00FD005B"/>
    <w:rsid w:val="00FD213B"/>
    <w:rsid w:val="00FD3B1E"/>
    <w:rsid w:val="00FD3DA3"/>
    <w:rsid w:val="00FE315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299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1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F45586"/>
    <w:pPr>
      <w:suppressAutoHyphens/>
      <w:spacing w:after="0" w:line="240" w:lineRule="auto"/>
    </w:pPr>
    <w:rPr>
      <w:rFonts w:ascii="Calibri" w:eastAsia="Calibri" w:hAnsi="Calibri" w:cs="Calibri"/>
      <w:color w:val="FF0000"/>
      <w:sz w:val="20"/>
      <w:szCs w:val="20"/>
    </w:rPr>
  </w:style>
  <w:style w:type="paragraph" w:styleId="Heading1">
    <w:name w:val="heading 1"/>
    <w:aliases w:val="Heading1 Numbered"/>
    <w:next w:val="BodyText"/>
    <w:link w:val="Heading1Char"/>
    <w:uiPriority w:val="9"/>
    <w:qFormat/>
    <w:rsid w:val="001D7397"/>
    <w:pPr>
      <w:keepNext/>
      <w:keepLines/>
      <w:suppressAutoHyphens/>
      <w:spacing w:after="0" w:line="240" w:lineRule="auto"/>
      <w:outlineLvl w:val="0"/>
    </w:pPr>
    <w:rPr>
      <w:color w:val="22272B" w:themeColor="text1"/>
      <w:sz w:val="36"/>
    </w:rPr>
  </w:style>
  <w:style w:type="paragraph" w:styleId="Heading2">
    <w:name w:val="heading 2"/>
    <w:aliases w:val="Heading2 Numbered"/>
    <w:next w:val="BodyText"/>
    <w:link w:val="Heading2Char"/>
    <w:uiPriority w:val="9"/>
    <w:qFormat/>
    <w:rsid w:val="001D7397"/>
    <w:pPr>
      <w:keepNext/>
      <w:keepLines/>
      <w:pBdr>
        <w:top w:val="single" w:sz="4" w:space="8" w:color="22272B" w:themeColor="text1"/>
      </w:pBdr>
      <w:suppressAutoHyphens/>
      <w:spacing w:before="240" w:after="240" w:line="240" w:lineRule="auto"/>
      <w:outlineLvl w:val="1"/>
    </w:pPr>
    <w:rPr>
      <w:color w:val="22272B" w:themeColor="text1"/>
      <w:sz w:val="28"/>
    </w:rPr>
  </w:style>
  <w:style w:type="paragraph" w:styleId="Heading3">
    <w:name w:val="heading 3"/>
    <w:aliases w:val="Heading3 Numbered"/>
    <w:next w:val="BodyText"/>
    <w:link w:val="Heading3Char"/>
    <w:uiPriority w:val="9"/>
    <w:qFormat/>
    <w:rsid w:val="001D7397"/>
    <w:pPr>
      <w:keepNext/>
      <w:keepLines/>
      <w:suppressAutoHyphens/>
      <w:spacing w:before="120" w:after="120" w:line="240" w:lineRule="auto"/>
      <w:outlineLvl w:val="2"/>
    </w:pPr>
    <w:rPr>
      <w:rFonts w:asciiTheme="majorHAnsi" w:hAnsiTheme="majorHAnsi"/>
      <w:color w:val="22272B" w:themeColor="text1"/>
    </w:rPr>
  </w:style>
  <w:style w:type="paragraph" w:styleId="Heading4">
    <w:name w:val="heading 4"/>
    <w:aliases w:val="Heading4 Numbered"/>
    <w:next w:val="BodyText"/>
    <w:link w:val="Heading4Char"/>
    <w:uiPriority w:val="9"/>
    <w:qFormat/>
    <w:rsid w:val="001D7397"/>
    <w:pPr>
      <w:keepNext/>
      <w:keepLines/>
      <w:suppressAutoHyphens/>
      <w:spacing w:before="120" w:after="120" w:line="240" w:lineRule="auto"/>
      <w:outlineLvl w:val="3"/>
    </w:pPr>
    <w:rPr>
      <w:rFonts w:asciiTheme="majorHAnsi" w:eastAsiaTheme="majorEastAsia" w:hAnsiTheme="majorHAnsi" w:cstheme="majorBidi"/>
      <w:iCs/>
      <w:color w:val="002664" w:themeColor="accent1"/>
    </w:rPr>
  </w:style>
  <w:style w:type="paragraph" w:styleId="Heading5">
    <w:name w:val="heading 5"/>
    <w:aliases w:val="Heading5 Numbered"/>
    <w:next w:val="BodyText"/>
    <w:link w:val="Heading5Char"/>
    <w:uiPriority w:val="9"/>
    <w:qFormat/>
    <w:rsid w:val="001D7397"/>
    <w:pPr>
      <w:keepNext/>
      <w:keepLines/>
      <w:suppressAutoHyphens/>
      <w:spacing w:before="120" w:after="120" w:line="240" w:lineRule="auto"/>
      <w:outlineLvl w:val="4"/>
    </w:pPr>
    <w:rPr>
      <w:rFonts w:asciiTheme="majorHAnsi" w:eastAsiaTheme="majorEastAsia" w:hAnsiTheme="majorHAnsi" w:cstheme="majorBidi"/>
      <w:color w:val="146CFD" w:themeColor="accent3"/>
    </w:rPr>
  </w:style>
  <w:style w:type="paragraph" w:styleId="Heading6">
    <w:name w:val="heading 6"/>
    <w:next w:val="BodyText"/>
    <w:link w:val="Heading6Char"/>
    <w:uiPriority w:val="9"/>
    <w:semiHidden/>
    <w:rsid w:val="00E62233"/>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E62233"/>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2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E62233"/>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E62233"/>
    <w:pPr>
      <w:spacing w:after="100"/>
    </w:pPr>
  </w:style>
  <w:style w:type="paragraph" w:styleId="TOC2">
    <w:name w:val="toc 2"/>
    <w:basedOn w:val="Normal"/>
    <w:next w:val="Normal"/>
    <w:uiPriority w:val="39"/>
    <w:semiHidden/>
    <w:rsid w:val="00E62233"/>
    <w:pPr>
      <w:spacing w:after="100"/>
      <w:ind w:left="220"/>
    </w:pPr>
  </w:style>
  <w:style w:type="paragraph" w:styleId="TOC3">
    <w:name w:val="toc 3"/>
    <w:basedOn w:val="Normal"/>
    <w:next w:val="Normal"/>
    <w:uiPriority w:val="39"/>
    <w:semiHidden/>
    <w:rsid w:val="00E62233"/>
    <w:pPr>
      <w:spacing w:after="100"/>
      <w:ind w:left="440"/>
    </w:pPr>
  </w:style>
  <w:style w:type="paragraph" w:styleId="TOC4">
    <w:name w:val="toc 4"/>
    <w:basedOn w:val="Normal"/>
    <w:next w:val="Normal"/>
    <w:uiPriority w:val="39"/>
    <w:semiHidden/>
    <w:rsid w:val="00E62233"/>
    <w:pPr>
      <w:spacing w:after="100"/>
      <w:ind w:left="660"/>
    </w:pPr>
  </w:style>
  <w:style w:type="paragraph" w:styleId="TOC5">
    <w:name w:val="toc 5"/>
    <w:basedOn w:val="Normal"/>
    <w:next w:val="Normal"/>
    <w:uiPriority w:val="39"/>
    <w:semiHidden/>
    <w:rsid w:val="00E62233"/>
    <w:pPr>
      <w:spacing w:after="100"/>
      <w:ind w:left="880"/>
    </w:pPr>
  </w:style>
  <w:style w:type="paragraph" w:styleId="TOC6">
    <w:name w:val="toc 6"/>
    <w:basedOn w:val="Normal"/>
    <w:next w:val="Normal"/>
    <w:uiPriority w:val="39"/>
    <w:semiHidden/>
    <w:rsid w:val="00E62233"/>
    <w:pPr>
      <w:spacing w:after="100"/>
      <w:ind w:left="1100"/>
    </w:pPr>
  </w:style>
  <w:style w:type="paragraph" w:styleId="TOC7">
    <w:name w:val="toc 7"/>
    <w:basedOn w:val="Normal"/>
    <w:next w:val="Normal"/>
    <w:uiPriority w:val="39"/>
    <w:semiHidden/>
    <w:rsid w:val="00E62233"/>
    <w:pPr>
      <w:spacing w:after="100"/>
      <w:ind w:left="1320"/>
    </w:pPr>
  </w:style>
  <w:style w:type="paragraph" w:styleId="TOC8">
    <w:name w:val="toc 8"/>
    <w:basedOn w:val="Normal"/>
    <w:next w:val="Normal"/>
    <w:uiPriority w:val="39"/>
    <w:semiHidden/>
    <w:rsid w:val="00E62233"/>
    <w:pPr>
      <w:spacing w:after="100"/>
      <w:ind w:left="1540"/>
    </w:pPr>
  </w:style>
  <w:style w:type="paragraph" w:styleId="TOC9">
    <w:name w:val="toc 9"/>
    <w:basedOn w:val="Normal"/>
    <w:next w:val="Normal"/>
    <w:uiPriority w:val="39"/>
    <w:semiHidden/>
    <w:rsid w:val="00E62233"/>
    <w:pPr>
      <w:spacing w:after="100"/>
      <w:ind w:left="1760"/>
    </w:pPr>
  </w:style>
  <w:style w:type="character" w:customStyle="1" w:styleId="Heading1Char">
    <w:name w:val="Heading 1 Char"/>
    <w:aliases w:val="Heading1 Numbered Char"/>
    <w:basedOn w:val="DefaultParagraphFont"/>
    <w:link w:val="Heading1"/>
    <w:uiPriority w:val="9"/>
    <w:rsid w:val="001D7397"/>
    <w:rPr>
      <w:color w:val="22272B" w:themeColor="text1"/>
      <w:sz w:val="36"/>
    </w:rPr>
  </w:style>
  <w:style w:type="paragraph" w:styleId="TOCHeading">
    <w:name w:val="TOC Heading"/>
    <w:basedOn w:val="Heading1"/>
    <w:next w:val="Normal"/>
    <w:uiPriority w:val="39"/>
    <w:semiHidden/>
    <w:rsid w:val="00E62233"/>
    <w:pPr>
      <w:outlineLvl w:val="9"/>
    </w:pPr>
  </w:style>
  <w:style w:type="paragraph" w:styleId="Index1">
    <w:name w:val="index 1"/>
    <w:basedOn w:val="Normal"/>
    <w:next w:val="Normal"/>
    <w:uiPriority w:val="99"/>
    <w:semiHidden/>
    <w:rsid w:val="00E62233"/>
    <w:pPr>
      <w:ind w:left="220" w:hanging="220"/>
    </w:pPr>
  </w:style>
  <w:style w:type="paragraph" w:styleId="Index2">
    <w:name w:val="index 2"/>
    <w:basedOn w:val="Normal"/>
    <w:next w:val="Normal"/>
    <w:uiPriority w:val="99"/>
    <w:semiHidden/>
    <w:rsid w:val="00E62233"/>
    <w:pPr>
      <w:ind w:left="440" w:hanging="220"/>
    </w:pPr>
  </w:style>
  <w:style w:type="paragraph" w:styleId="Index3">
    <w:name w:val="index 3"/>
    <w:basedOn w:val="Normal"/>
    <w:next w:val="Normal"/>
    <w:uiPriority w:val="99"/>
    <w:semiHidden/>
    <w:rsid w:val="00E62233"/>
    <w:pPr>
      <w:ind w:left="660" w:hanging="220"/>
    </w:pPr>
  </w:style>
  <w:style w:type="paragraph" w:styleId="Index4">
    <w:name w:val="index 4"/>
    <w:basedOn w:val="Normal"/>
    <w:next w:val="Normal"/>
    <w:uiPriority w:val="99"/>
    <w:semiHidden/>
    <w:rsid w:val="00E62233"/>
    <w:pPr>
      <w:ind w:left="880" w:hanging="220"/>
    </w:pPr>
  </w:style>
  <w:style w:type="paragraph" w:styleId="Index5">
    <w:name w:val="index 5"/>
    <w:basedOn w:val="Normal"/>
    <w:next w:val="Normal"/>
    <w:uiPriority w:val="99"/>
    <w:semiHidden/>
    <w:rsid w:val="00E62233"/>
    <w:pPr>
      <w:ind w:left="1100" w:hanging="220"/>
    </w:pPr>
  </w:style>
  <w:style w:type="paragraph" w:styleId="Index6">
    <w:name w:val="index 6"/>
    <w:basedOn w:val="Normal"/>
    <w:next w:val="Normal"/>
    <w:uiPriority w:val="99"/>
    <w:semiHidden/>
    <w:rsid w:val="00E62233"/>
    <w:pPr>
      <w:ind w:left="1320" w:hanging="220"/>
    </w:pPr>
  </w:style>
  <w:style w:type="paragraph" w:styleId="Index7">
    <w:name w:val="index 7"/>
    <w:basedOn w:val="Normal"/>
    <w:next w:val="Normal"/>
    <w:uiPriority w:val="99"/>
    <w:semiHidden/>
    <w:rsid w:val="00E62233"/>
    <w:pPr>
      <w:ind w:left="1540" w:hanging="220"/>
    </w:pPr>
  </w:style>
  <w:style w:type="paragraph" w:styleId="Index8">
    <w:name w:val="index 8"/>
    <w:basedOn w:val="Normal"/>
    <w:next w:val="Normal"/>
    <w:uiPriority w:val="99"/>
    <w:semiHidden/>
    <w:rsid w:val="00E62233"/>
    <w:pPr>
      <w:ind w:left="1760" w:hanging="220"/>
    </w:pPr>
  </w:style>
  <w:style w:type="paragraph" w:styleId="Index9">
    <w:name w:val="index 9"/>
    <w:basedOn w:val="Normal"/>
    <w:next w:val="Normal"/>
    <w:uiPriority w:val="99"/>
    <w:semiHidden/>
    <w:rsid w:val="00E62233"/>
    <w:pPr>
      <w:ind w:left="1980" w:hanging="220"/>
    </w:pPr>
  </w:style>
  <w:style w:type="paragraph" w:styleId="Header">
    <w:name w:val="header"/>
    <w:link w:val="HeaderChar"/>
    <w:uiPriority w:val="99"/>
    <w:rsid w:val="00675B76"/>
    <w:pPr>
      <w:suppressAutoHyphens/>
      <w:spacing w:after="240" w:line="240" w:lineRule="auto"/>
    </w:pPr>
    <w:rPr>
      <w:color w:val="146CFD" w:themeColor="accent3"/>
      <w:sz w:val="18"/>
    </w:rPr>
  </w:style>
  <w:style w:type="character" w:customStyle="1" w:styleId="HeaderChar">
    <w:name w:val="Header Char"/>
    <w:basedOn w:val="DefaultParagraphFont"/>
    <w:link w:val="Header"/>
    <w:uiPriority w:val="99"/>
    <w:rsid w:val="00675B76"/>
    <w:rPr>
      <w:color w:val="146CFD" w:themeColor="accent3"/>
      <w:sz w:val="18"/>
    </w:rPr>
  </w:style>
  <w:style w:type="paragraph" w:styleId="Footer">
    <w:name w:val="footer"/>
    <w:link w:val="FooterChar"/>
    <w:uiPriority w:val="99"/>
    <w:rsid w:val="00E62233"/>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C44E6C"/>
    <w:rPr>
      <w:color w:val="22272B" w:themeColor="text1"/>
      <w:sz w:val="18"/>
    </w:rPr>
  </w:style>
  <w:style w:type="character" w:styleId="PlaceholderText">
    <w:name w:val="Placeholder Text"/>
    <w:basedOn w:val="DefaultParagraphFont"/>
    <w:uiPriority w:val="99"/>
    <w:semiHidden/>
    <w:rsid w:val="00E62233"/>
    <w:rPr>
      <w:color w:val="808080"/>
    </w:rPr>
  </w:style>
  <w:style w:type="paragraph" w:customStyle="1" w:styleId="DocumentType">
    <w:name w:val="Document Type"/>
    <w:next w:val="Heading1"/>
    <w:uiPriority w:val="2"/>
    <w:qFormat/>
    <w:rsid w:val="002B7ECB"/>
    <w:pPr>
      <w:suppressAutoHyphens/>
      <w:spacing w:after="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19"/>
    <w:qFormat/>
    <w:rsid w:val="00E62233"/>
    <w:rPr>
      <w:i/>
      <w:iCs/>
    </w:rPr>
  </w:style>
  <w:style w:type="character" w:styleId="Strong">
    <w:name w:val="Strong"/>
    <w:aliases w:val="Bold"/>
    <w:basedOn w:val="DefaultParagraphFont"/>
    <w:uiPriority w:val="22"/>
    <w:qFormat/>
    <w:rsid w:val="00E62233"/>
    <w:rPr>
      <w:b/>
      <w:bCs/>
    </w:rPr>
  </w:style>
  <w:style w:type="paragraph" w:styleId="ListBullet">
    <w:name w:val="List Bullet"/>
    <w:uiPriority w:val="10"/>
    <w:qFormat/>
    <w:rsid w:val="00CA6491"/>
    <w:pPr>
      <w:numPr>
        <w:numId w:val="37"/>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CA2833"/>
    <w:pPr>
      <w:numPr>
        <w:numId w:val="38"/>
      </w:numPr>
      <w:suppressAutoHyphens/>
      <w:spacing w:before="120" w:after="240" w:line="240" w:lineRule="auto"/>
    </w:pPr>
    <w:rPr>
      <w:b/>
      <w:bCs/>
      <w:color w:val="22272B" w:themeColor="text1"/>
      <w:sz w:val="28"/>
      <w:szCs w:val="28"/>
      <w:lang w:eastAsia="en-AU"/>
    </w:rPr>
  </w:style>
  <w:style w:type="paragraph" w:styleId="FootnoteText">
    <w:name w:val="footnote text"/>
    <w:link w:val="FootnoteTextChar"/>
    <w:uiPriority w:val="99"/>
    <w:semiHidden/>
    <w:rsid w:val="00E62233"/>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E62233"/>
    <w:rPr>
      <w:color w:val="22272B" w:themeColor="text1"/>
      <w:sz w:val="20"/>
      <w:szCs w:val="20"/>
    </w:rPr>
  </w:style>
  <w:style w:type="character" w:styleId="FootnoteReference">
    <w:name w:val="footnote reference"/>
    <w:basedOn w:val="DefaultParagraphFont"/>
    <w:uiPriority w:val="99"/>
    <w:semiHidden/>
    <w:rsid w:val="00E62233"/>
    <w:rPr>
      <w:vertAlign w:val="superscript"/>
    </w:rPr>
  </w:style>
  <w:style w:type="paragraph" w:styleId="BodyText">
    <w:name w:val="Body Text"/>
    <w:link w:val="BodyTextChar"/>
    <w:qFormat/>
    <w:rsid w:val="00CA2833"/>
    <w:pPr>
      <w:tabs>
        <w:tab w:val="left" w:pos="357"/>
        <w:tab w:val="left" w:pos="714"/>
        <w:tab w:val="left" w:pos="2552"/>
      </w:tabs>
      <w:suppressAutoHyphens/>
      <w:spacing w:before="240" w:after="120" w:line="240" w:lineRule="auto"/>
      <w:ind w:left="680"/>
    </w:pPr>
    <w:rPr>
      <w:i/>
      <w:iCs/>
      <w:color w:val="22272B" w:themeColor="text1"/>
      <w:lang w:eastAsia="en-AU"/>
    </w:rPr>
  </w:style>
  <w:style w:type="character" w:customStyle="1" w:styleId="BodyTextChar">
    <w:name w:val="Body Text Char"/>
    <w:basedOn w:val="DefaultParagraphFont"/>
    <w:link w:val="BodyText"/>
    <w:rsid w:val="00CA2833"/>
    <w:rPr>
      <w:i/>
      <w:iCs/>
      <w:color w:val="22272B" w:themeColor="text1"/>
      <w:lang w:eastAsia="en-AU"/>
    </w:rPr>
  </w:style>
  <w:style w:type="character" w:customStyle="1" w:styleId="Heading2Char">
    <w:name w:val="Heading 2 Char"/>
    <w:aliases w:val="Heading2 Numbered Char"/>
    <w:basedOn w:val="DefaultParagraphFont"/>
    <w:link w:val="Heading2"/>
    <w:uiPriority w:val="9"/>
    <w:rsid w:val="001D7397"/>
    <w:rPr>
      <w:color w:val="22272B" w:themeColor="text1"/>
      <w:sz w:val="28"/>
    </w:rPr>
  </w:style>
  <w:style w:type="character" w:customStyle="1" w:styleId="Heading3Char">
    <w:name w:val="Heading 3 Char"/>
    <w:aliases w:val="Heading3 Numbered Char"/>
    <w:basedOn w:val="DefaultParagraphFont"/>
    <w:link w:val="Heading3"/>
    <w:uiPriority w:val="9"/>
    <w:rsid w:val="001D7397"/>
    <w:rPr>
      <w:rFonts w:asciiTheme="majorHAnsi" w:hAnsiTheme="majorHAnsi"/>
      <w:color w:val="22272B" w:themeColor="text1"/>
    </w:rPr>
  </w:style>
  <w:style w:type="character" w:customStyle="1" w:styleId="Heading4Char">
    <w:name w:val="Heading 4 Char"/>
    <w:aliases w:val="Heading4 Numbered Char"/>
    <w:basedOn w:val="DefaultParagraphFont"/>
    <w:link w:val="Heading4"/>
    <w:uiPriority w:val="9"/>
    <w:rsid w:val="001D7397"/>
    <w:rPr>
      <w:rFonts w:asciiTheme="majorHAnsi" w:eastAsiaTheme="majorEastAsia" w:hAnsiTheme="majorHAnsi" w:cstheme="majorBidi"/>
      <w:iCs/>
      <w:color w:val="002664" w:themeColor="accent1"/>
    </w:rPr>
  </w:style>
  <w:style w:type="character" w:customStyle="1" w:styleId="Heading5Char">
    <w:name w:val="Heading 5 Char"/>
    <w:aliases w:val="Heading5 Numbered Char"/>
    <w:basedOn w:val="DefaultParagraphFont"/>
    <w:link w:val="Heading5"/>
    <w:uiPriority w:val="9"/>
    <w:rsid w:val="001D7397"/>
    <w:rPr>
      <w:rFonts w:asciiTheme="majorHAnsi" w:eastAsiaTheme="majorEastAsia" w:hAnsiTheme="majorHAnsi" w:cstheme="majorBidi"/>
      <w:color w:val="146CFD" w:themeColor="accent3"/>
    </w:rPr>
  </w:style>
  <w:style w:type="character" w:customStyle="1" w:styleId="Heading6Char">
    <w:name w:val="Heading 6 Char"/>
    <w:basedOn w:val="DefaultParagraphFont"/>
    <w:link w:val="Heading6"/>
    <w:uiPriority w:val="9"/>
    <w:semiHidden/>
    <w:rsid w:val="00E62233"/>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E62233"/>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E62233"/>
    <w:rPr>
      <w:color w:val="22272B" w:themeColor="text1"/>
      <w:u w:val="single"/>
    </w:rPr>
  </w:style>
  <w:style w:type="paragraph" w:styleId="ListBullet2">
    <w:name w:val="List Bullet 2"/>
    <w:uiPriority w:val="10"/>
    <w:qFormat/>
    <w:rsid w:val="00E62233"/>
    <w:pPr>
      <w:numPr>
        <w:numId w:val="31"/>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E62233"/>
    <w:pPr>
      <w:numPr>
        <w:numId w:val="32"/>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E62233"/>
  </w:style>
  <w:style w:type="paragraph" w:styleId="ListNumber3">
    <w:name w:val="List Number 3"/>
    <w:basedOn w:val="ListParagraph"/>
    <w:uiPriority w:val="10"/>
    <w:qFormat/>
    <w:rsid w:val="00B02E55"/>
    <w:pPr>
      <w:numPr>
        <w:ilvl w:val="2"/>
        <w:numId w:val="38"/>
      </w:numPr>
      <w:suppressAutoHyphens w:val="0"/>
      <w:spacing w:before="240" w:after="120"/>
      <w:contextualSpacing w:val="0"/>
      <w:outlineLvl w:val="2"/>
    </w:pPr>
    <w:rPr>
      <w:rFonts w:asciiTheme="minorHAnsi" w:eastAsia="Times New Roman" w:hAnsiTheme="minorHAnsi" w:cs="Times New Roman"/>
      <w:bCs/>
      <w:color w:val="auto"/>
      <w:kern w:val="28"/>
      <w:sz w:val="22"/>
      <w:szCs w:val="22"/>
      <w:lang w:eastAsia="en-AU"/>
    </w:rPr>
  </w:style>
  <w:style w:type="paragraph" w:styleId="ListNumber2">
    <w:name w:val="List Number 2"/>
    <w:basedOn w:val="ListNumber"/>
    <w:uiPriority w:val="10"/>
    <w:qFormat/>
    <w:rsid w:val="00CA2833"/>
    <w:pPr>
      <w:numPr>
        <w:ilvl w:val="1"/>
      </w:numPr>
      <w:spacing w:before="240"/>
    </w:pPr>
    <w:rPr>
      <w:b w:val="0"/>
      <w:bCs w:val="0"/>
      <w:sz w:val="22"/>
      <w:szCs w:val="22"/>
    </w:rPr>
  </w:style>
  <w:style w:type="paragraph" w:customStyle="1" w:styleId="TitleTintBox">
    <w:name w:val="Title Tint Box"/>
    <w:next w:val="BodyText"/>
    <w:uiPriority w:val="2"/>
    <w:qFormat/>
    <w:rsid w:val="00E731A0"/>
    <w:pPr>
      <w:spacing w:after="240" w:line="240" w:lineRule="auto"/>
      <w:ind w:left="-851" w:right="-851"/>
    </w:pPr>
    <w:rPr>
      <w:color w:val="22272B" w:themeColor="text1"/>
      <w:sz w:val="36"/>
    </w:rPr>
  </w:style>
  <w:style w:type="table" w:styleId="TableGridLight">
    <w:name w:val="Grid Table Light"/>
    <w:basedOn w:val="TableNormal"/>
    <w:uiPriority w:val="40"/>
    <w:rsid w:val="00E62233"/>
    <w:pPr>
      <w:spacing w:after="0" w:line="240" w:lineRule="auto"/>
    </w:pPr>
    <w:tblPr>
      <w:tblCellMar>
        <w:top w:w="113" w:type="dxa"/>
        <w:left w:w="0" w:type="dxa"/>
        <w:bottom w:w="57" w:type="dxa"/>
        <w:right w:w="57" w:type="dxa"/>
      </w:tblCellMar>
    </w:tblPr>
    <w:tblStylePr w:type="firstRow">
      <w:tblPr/>
      <w:trPr>
        <w:tblHeader/>
      </w:trPr>
    </w:tblStylePr>
  </w:style>
  <w:style w:type="character" w:styleId="CommentReference">
    <w:name w:val="annotation reference"/>
    <w:basedOn w:val="DefaultParagraphFont"/>
    <w:uiPriority w:val="99"/>
    <w:semiHidden/>
    <w:rsid w:val="00E62233"/>
    <w:rPr>
      <w:sz w:val="16"/>
      <w:szCs w:val="16"/>
    </w:rPr>
  </w:style>
  <w:style w:type="paragraph" w:styleId="CommentText">
    <w:name w:val="annotation text"/>
    <w:basedOn w:val="Normal"/>
    <w:link w:val="CommentTextChar"/>
    <w:uiPriority w:val="99"/>
    <w:semiHidden/>
    <w:rsid w:val="00E62233"/>
  </w:style>
  <w:style w:type="character" w:customStyle="1" w:styleId="CommentTextChar">
    <w:name w:val="Comment Text Char"/>
    <w:basedOn w:val="DefaultParagraphFont"/>
    <w:link w:val="CommentText"/>
    <w:uiPriority w:val="99"/>
    <w:semiHidden/>
    <w:rsid w:val="00E62233"/>
    <w:rPr>
      <w:color w:val="22272B" w:themeColor="text1"/>
      <w:sz w:val="20"/>
      <w:szCs w:val="20"/>
    </w:rPr>
  </w:style>
  <w:style w:type="paragraph" w:styleId="CommentSubject">
    <w:name w:val="annotation subject"/>
    <w:basedOn w:val="CommentText"/>
    <w:next w:val="CommentText"/>
    <w:link w:val="CommentSubjectChar"/>
    <w:uiPriority w:val="99"/>
    <w:semiHidden/>
    <w:rsid w:val="00E62233"/>
    <w:rPr>
      <w:b/>
      <w:bCs/>
    </w:rPr>
  </w:style>
  <w:style w:type="character" w:customStyle="1" w:styleId="CommentSubjectChar">
    <w:name w:val="Comment Subject Char"/>
    <w:basedOn w:val="CommentTextChar"/>
    <w:link w:val="CommentSubject"/>
    <w:uiPriority w:val="99"/>
    <w:semiHidden/>
    <w:rsid w:val="00E62233"/>
    <w:rPr>
      <w:b/>
      <w:bCs/>
      <w:color w:val="22272B" w:themeColor="text1"/>
      <w:sz w:val="20"/>
      <w:szCs w:val="20"/>
    </w:rPr>
  </w:style>
  <w:style w:type="paragraph" w:styleId="BalloonText">
    <w:name w:val="Balloon Text"/>
    <w:basedOn w:val="Normal"/>
    <w:link w:val="BalloonTextChar"/>
    <w:uiPriority w:val="99"/>
    <w:semiHidden/>
    <w:rsid w:val="00E622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233"/>
    <w:rPr>
      <w:rFonts w:ascii="Segoe UI" w:hAnsi="Segoe UI" w:cs="Segoe UI"/>
      <w:color w:val="22272B" w:themeColor="text1"/>
      <w:sz w:val="18"/>
      <w:szCs w:val="18"/>
    </w:rPr>
  </w:style>
  <w:style w:type="paragraph" w:customStyle="1" w:styleId="ReleasedDate">
    <w:name w:val="Released Date"/>
    <w:uiPriority w:val="3"/>
    <w:qFormat/>
    <w:rsid w:val="00E62233"/>
    <w:pPr>
      <w:suppressAutoHyphens/>
      <w:spacing w:before="360" w:after="360" w:line="240" w:lineRule="auto"/>
      <w:contextualSpacing/>
    </w:pPr>
    <w:rPr>
      <w:rFonts w:asciiTheme="majorHAnsi" w:hAnsiTheme="majorHAnsi"/>
      <w:color w:val="22272B" w:themeColor="text1"/>
    </w:rPr>
  </w:style>
  <w:style w:type="paragraph" w:customStyle="1" w:styleId="BodyTextwithTab">
    <w:name w:val="Body Text with Tab"/>
    <w:qFormat/>
    <w:rsid w:val="002B7ECB"/>
    <w:pPr>
      <w:tabs>
        <w:tab w:val="left" w:pos="2552"/>
      </w:tabs>
      <w:suppressAutoHyphens/>
      <w:spacing w:before="120" w:after="120" w:line="240" w:lineRule="auto"/>
      <w:ind w:left="2552" w:hanging="2552"/>
    </w:pPr>
    <w:rPr>
      <w:color w:val="22272B" w:themeColor="text1"/>
    </w:rPr>
  </w:style>
  <w:style w:type="paragraph" w:customStyle="1" w:styleId="DescriptororNameSmall">
    <w:name w:val="Descriptor or Name Small"/>
    <w:next w:val="Normal"/>
    <w:uiPriority w:val="1"/>
    <w:qFormat/>
    <w:rsid w:val="00A010F0"/>
    <w:pPr>
      <w:suppressAutoHyphens/>
      <w:spacing w:after="0" w:line="240" w:lineRule="auto"/>
      <w:contextualSpacing/>
    </w:pPr>
    <w:rPr>
      <w:rFonts w:asciiTheme="majorHAnsi" w:hAnsiTheme="majorHAnsi"/>
      <w:color w:val="22272B" w:themeColor="text1"/>
      <w:sz w:val="23"/>
    </w:rPr>
  </w:style>
  <w:style w:type="paragraph" w:customStyle="1" w:styleId="Footerwhiteline">
    <w:name w:val="Footer white line"/>
    <w:next w:val="Footer"/>
    <w:uiPriority w:val="99"/>
    <w:rsid w:val="00CA6491"/>
    <w:pPr>
      <w:pBdr>
        <w:top w:val="single" w:sz="4" w:space="12" w:color="FFFFFF" w:themeColor="background1"/>
      </w:pBdr>
      <w:suppressAutoHyphens/>
      <w:spacing w:after="120" w:line="240" w:lineRule="auto"/>
    </w:pPr>
    <w:rPr>
      <w:color w:val="22272B" w:themeColor="text1"/>
      <w:sz w:val="18"/>
    </w:rPr>
  </w:style>
  <w:style w:type="character" w:customStyle="1" w:styleId="BoldItalic">
    <w:name w:val="Bold Italic"/>
    <w:basedOn w:val="DefaultParagraphFont"/>
    <w:uiPriority w:val="19"/>
    <w:qFormat/>
    <w:rsid w:val="00A010F0"/>
    <w:rPr>
      <w:b/>
      <w:bCs w:val="0"/>
      <w:i/>
      <w:iCs w:val="0"/>
    </w:rPr>
  </w:style>
  <w:style w:type="table" w:styleId="ListTable3-Accent1">
    <w:name w:val="List Table 3 Accent 1"/>
    <w:basedOn w:val="TableNormal"/>
    <w:uiPriority w:val="48"/>
    <w:rsid w:val="008027D0"/>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table" w:styleId="ListTable3-Accent2">
    <w:name w:val="List Table 3 Accent 2"/>
    <w:basedOn w:val="TableNormal"/>
    <w:uiPriority w:val="48"/>
    <w:rsid w:val="008027D0"/>
    <w:pPr>
      <w:spacing w:after="0" w:line="240" w:lineRule="auto"/>
    </w:pPr>
    <w:tblPr>
      <w:tblStyleRowBandSize w:val="1"/>
      <w:tblStyleColBandSize w:val="1"/>
      <w:tbl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blBorders>
    </w:tblPr>
    <w:tblStylePr w:type="firstRow">
      <w:rPr>
        <w:b/>
        <w:bCs/>
        <w:color w:val="FFFFFF" w:themeColor="background1"/>
      </w:rPr>
      <w:tblPr/>
      <w:trPr>
        <w:tblHeader/>
      </w:tr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l2br w:val="nil"/>
          <w:tr2bl w:val="nil"/>
        </w:tcBorders>
        <w:shd w:val="clear" w:color="auto" w:fill="CBEDFD" w:themeFill="accent2"/>
      </w:tcPr>
    </w:tblStylePr>
    <w:tblStylePr w:type="lastRow">
      <w:rPr>
        <w:b w:val="0"/>
        <w:bCs/>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l2br w:val="nil"/>
          <w:tr2bl w:val="nil"/>
        </w:tcBorders>
        <w:shd w:val="clear" w:color="auto" w:fill="FFFFFF" w:themeFill="background1"/>
      </w:tcPr>
    </w:tblStylePr>
    <w:tblStylePr w:type="firstCol">
      <w:rPr>
        <w:b w:val="0"/>
        <w:bCs/>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l2br w:val="nil"/>
          <w:tr2bl w:val="nil"/>
        </w:tcBorders>
      </w:tcPr>
    </w:tblStylePr>
    <w:tblStylePr w:type="lastCol">
      <w:rPr>
        <w:b w:val="0"/>
        <w:bCs/>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l2br w:val="nil"/>
          <w:tr2bl w:val="nil"/>
        </w:tcBorders>
        <w:shd w:val="clear" w:color="auto" w:fill="FFFFFF" w:themeFill="background1"/>
      </w:tcPr>
    </w:tblStylePr>
    <w:tblStylePr w:type="band1Vert">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band2Vert">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band1Horz">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band2Horz">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neCell">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nwCell">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seCell">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swCell">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style>
  <w:style w:type="table" w:styleId="ListTable3-Accent3">
    <w:name w:val="List Table 3 Accent 3"/>
    <w:basedOn w:val="TableNormal"/>
    <w:uiPriority w:val="48"/>
    <w:rsid w:val="008027D0"/>
    <w:pPr>
      <w:spacing w:after="0" w:line="240" w:lineRule="auto"/>
    </w:pPr>
    <w:tblPr>
      <w:tblStyleRowBandSize w:val="1"/>
      <w:tblStyleColBandSize w:val="1"/>
      <w:tblBorders>
        <w:top w:val="single" w:sz="4" w:space="0" w:color="146CFD" w:themeColor="accent3"/>
        <w:left w:val="single" w:sz="4" w:space="0" w:color="146CFD" w:themeColor="accent3"/>
        <w:bottom w:val="single" w:sz="4" w:space="0" w:color="146CFD" w:themeColor="accent3"/>
        <w:right w:val="single" w:sz="4" w:space="0" w:color="146CFD" w:themeColor="accent3"/>
      </w:tblBorders>
    </w:tblPr>
    <w:tblStylePr w:type="firstRow">
      <w:rPr>
        <w:b/>
        <w:bCs/>
        <w:color w:val="FFFFFF" w:themeColor="background1"/>
      </w:rPr>
      <w:tblPr/>
      <w:tcPr>
        <w:shd w:val="clear" w:color="auto" w:fill="146CFD" w:themeFill="accent3"/>
      </w:tcPr>
    </w:tblStylePr>
    <w:tblStylePr w:type="lastRow">
      <w:rPr>
        <w:b/>
        <w:bCs/>
      </w:rPr>
      <w:tblPr/>
      <w:tcPr>
        <w:tcBorders>
          <w:top w:val="double" w:sz="4" w:space="0" w:color="146CF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6CFD" w:themeColor="accent3"/>
          <w:right w:val="single" w:sz="4" w:space="0" w:color="146CFD" w:themeColor="accent3"/>
        </w:tcBorders>
      </w:tcPr>
    </w:tblStylePr>
    <w:tblStylePr w:type="band1Horz">
      <w:tblPr/>
      <w:tcPr>
        <w:tcBorders>
          <w:top w:val="single" w:sz="4" w:space="0" w:color="146CFD" w:themeColor="accent3"/>
          <w:bottom w:val="single" w:sz="4" w:space="0" w:color="146CF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6CFD" w:themeColor="accent3"/>
          <w:left w:val="nil"/>
        </w:tcBorders>
      </w:tcPr>
    </w:tblStylePr>
    <w:tblStylePr w:type="swCell">
      <w:tblPr/>
      <w:tcPr>
        <w:tcBorders>
          <w:top w:val="double" w:sz="4" w:space="0" w:color="146CFD" w:themeColor="accent3"/>
          <w:right w:val="nil"/>
        </w:tcBorders>
      </w:tcPr>
    </w:tblStylePr>
  </w:style>
  <w:style w:type="table" w:styleId="ListTable3-Accent4">
    <w:name w:val="List Table 3 Accent 4"/>
    <w:basedOn w:val="TableNormal"/>
    <w:uiPriority w:val="48"/>
    <w:rsid w:val="008027D0"/>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blBorders>
    </w:tblPr>
    <w:tblStylePr w:type="firstRow">
      <w:rPr>
        <w:b/>
        <w:bCs/>
        <w:color w:val="FFFFFF" w:themeColor="background1"/>
      </w:rPr>
      <w:tblPr/>
      <w:trPr>
        <w:tblHeader/>
      </w:tr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8CE0FF" w:themeFill="accent4"/>
      </w:tcPr>
    </w:tblStylePr>
    <w:tblStylePr w:type="lastRow">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firstCol">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lastCol">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1Vert">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band2Vert">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band1Horz">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band2Horz">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ne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nw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se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sw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style>
  <w:style w:type="table" w:styleId="ListTable3-Accent5">
    <w:name w:val="List Table 3 Accent 5"/>
    <w:basedOn w:val="TableNormal"/>
    <w:uiPriority w:val="48"/>
    <w:rsid w:val="008027D0"/>
    <w:pPr>
      <w:spacing w:after="0" w:line="240" w:lineRule="auto"/>
    </w:pPr>
    <w:tblPr>
      <w:tblStyleRowBandSize w:val="1"/>
      <w:tblStyleColBandSize w:val="1"/>
      <w:tblBorders>
        <w:top w:val="single" w:sz="4" w:space="0" w:color="495054" w:themeColor="accent5"/>
        <w:left w:val="single" w:sz="4" w:space="0" w:color="495054" w:themeColor="accent5"/>
        <w:bottom w:val="single" w:sz="4" w:space="0" w:color="495054" w:themeColor="accent5"/>
        <w:right w:val="single" w:sz="4" w:space="0" w:color="495054" w:themeColor="accent5"/>
      </w:tblBorders>
    </w:tblPr>
    <w:tblStylePr w:type="firstRow">
      <w:rPr>
        <w:b/>
        <w:bCs/>
        <w:color w:val="FFFFFF" w:themeColor="background1"/>
      </w:rPr>
      <w:tblPr/>
      <w:tcPr>
        <w:shd w:val="clear" w:color="auto" w:fill="495054" w:themeFill="accent5"/>
      </w:tcPr>
    </w:tblStylePr>
    <w:tblStylePr w:type="lastRow">
      <w:rPr>
        <w:b/>
        <w:bCs/>
      </w:rPr>
      <w:tblPr/>
      <w:tcPr>
        <w:tcBorders>
          <w:top w:val="double" w:sz="4" w:space="0" w:color="49505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95054" w:themeColor="accent5"/>
          <w:right w:val="single" w:sz="4" w:space="0" w:color="495054" w:themeColor="accent5"/>
        </w:tcBorders>
      </w:tcPr>
    </w:tblStylePr>
    <w:tblStylePr w:type="band1Horz">
      <w:tblPr/>
      <w:tcPr>
        <w:tcBorders>
          <w:top w:val="single" w:sz="4" w:space="0" w:color="495054" w:themeColor="accent5"/>
          <w:bottom w:val="single" w:sz="4" w:space="0" w:color="49505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95054" w:themeColor="accent5"/>
          <w:left w:val="nil"/>
        </w:tcBorders>
      </w:tcPr>
    </w:tblStylePr>
    <w:tblStylePr w:type="swCell">
      <w:tblPr/>
      <w:tcPr>
        <w:tcBorders>
          <w:top w:val="double" w:sz="4" w:space="0" w:color="495054" w:themeColor="accent5"/>
          <w:right w:val="nil"/>
        </w:tcBorders>
      </w:tcPr>
    </w:tblStylePr>
  </w:style>
  <w:style w:type="table" w:styleId="ListTable3-Accent6">
    <w:name w:val="List Table 3 Accent 6"/>
    <w:basedOn w:val="TableNormal"/>
    <w:uiPriority w:val="48"/>
    <w:rsid w:val="008027D0"/>
    <w:pPr>
      <w:spacing w:after="0" w:line="240" w:lineRule="auto"/>
    </w:pPr>
    <w:tblPr>
      <w:tblStyleRowBandSize w:val="1"/>
      <w:tblStyleColBandSize w:val="1"/>
      <w:tbl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blBorders>
    </w:tblPr>
    <w:tblStylePr w:type="firstRow">
      <w:rPr>
        <w:b/>
        <w:bCs/>
        <w:color w:val="FFFFFF" w:themeColor="background1"/>
      </w:rPr>
      <w:tblPr/>
      <w:trPr>
        <w:tblHeader/>
      </w:tr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shd w:val="clear" w:color="auto" w:fill="FFE6EA" w:themeFill="accent6"/>
      </w:tcPr>
    </w:tblStylePr>
    <w:tblStylePr w:type="lastRow">
      <w:rPr>
        <w:b w:val="0"/>
        <w:bCs/>
      </w:rPr>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shd w:val="clear" w:color="auto" w:fill="FFFFFF" w:themeFill="background1"/>
      </w:tcPr>
    </w:tblStylePr>
    <w:tblStylePr w:type="firstCol">
      <w:rPr>
        <w:b w:val="0"/>
        <w:bCs/>
      </w:rPr>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shd w:val="clear" w:color="auto" w:fill="FFFFFF" w:themeFill="background1"/>
      </w:tcPr>
    </w:tblStylePr>
    <w:tblStylePr w:type="lastCol">
      <w:rPr>
        <w:b w:val="0"/>
        <w:bCs/>
      </w:rPr>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shd w:val="clear" w:color="auto" w:fill="FFFFFF" w:themeFill="background1"/>
      </w:tcPr>
    </w:tblStylePr>
    <w:tblStylePr w:type="band1Vert">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band2Vert">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band1Horz">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band2Horz">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neCell">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nwCell">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seCell">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swCell">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style>
  <w:style w:type="paragraph" w:customStyle="1" w:styleId="BodyTextCentred">
    <w:name w:val="Body Text Centred"/>
    <w:basedOn w:val="BodyText"/>
    <w:uiPriority w:val="4"/>
    <w:qFormat/>
    <w:rsid w:val="00F45586"/>
    <w:pPr>
      <w:tabs>
        <w:tab w:val="clear" w:pos="2552"/>
      </w:tabs>
      <w:jc w:val="center"/>
    </w:pPr>
  </w:style>
  <w:style w:type="paragraph" w:styleId="Caption">
    <w:name w:val="caption"/>
    <w:next w:val="BodyText"/>
    <w:uiPriority w:val="35"/>
    <w:qFormat/>
    <w:rsid w:val="004C79AD"/>
    <w:pPr>
      <w:suppressAutoHyphens/>
      <w:spacing w:before="120" w:after="120" w:line="240" w:lineRule="auto"/>
    </w:pPr>
    <w:rPr>
      <w:iCs/>
      <w:color w:val="002664" w:themeColor="accent1"/>
      <w:sz w:val="18"/>
      <w:szCs w:val="18"/>
    </w:rPr>
  </w:style>
  <w:style w:type="paragraph" w:styleId="ListParagraph">
    <w:name w:val="List Paragraph"/>
    <w:basedOn w:val="Normal"/>
    <w:uiPriority w:val="34"/>
    <w:semiHidden/>
    <w:qFormat/>
    <w:rsid w:val="007375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5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 GOV 1">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7E697-90AF-4974-A5A9-CB476007C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2023-09-27T07:00:00Z</dcterms:created>
  <dcterms:modified xsi:type="dcterms:W3CDTF">2023-09-27T07:01:00Z</dcterms:modified>
  <cp:category/>
</cp:coreProperties>
</file>